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rPr/>
      </w:pPr>
      <w:r>
        <w:rPr/>
        <w:t>History of Tea</w:t>
      </w:r>
    </w:p>
    <w:p>
      <w:pPr>
        <w:pStyle w:val="Subtitle"/>
        <w:rPr/>
      </w:pPr>
      <w:r>
        <w:rPr/>
        <w:t>Brief report</w:t>
      </w:r>
    </w:p>
    <w:p>
      <w:pPr>
        <w:pStyle w:val="Author"/>
        <w:rPr/>
      </w:pPr>
      <w:r>
        <w:rPr/>
        <w:t>Aii Cloud</w:t>
      </w:r>
    </w:p>
    <w:sdt>
      <w:sdtPr>
        <w:docPartObj>
          <w:docPartGallery w:val="Table of Contents"/>
          <w:docPartUnique w:val="true"/>
        </w:docPartObj>
      </w:sdtPr>
      <w:sdtContent>
        <w:p>
          <w:pPr>
            <w:pStyle w:val="ContentsHeading"/>
            <w:spacing w:lineRule="auto" w:line="259" w:before="240" w:after="80"/>
            <w:rPr>
              <w:rFonts w:ascii="Aptos Display" w:hAnsi="Aptos Display" w:eastAsia="" w:cs="" w:asciiTheme="majorHAnsi" w:cstheme="majorBidi" w:eastAsiaTheme="majorEastAsia" w:hAnsiTheme="majorHAnsi"/>
              <w:b w:val="false"/>
              <w:b w:val="false"/>
              <w:bCs w:val="false"/>
              <w:color w:val="365F91" w:themeColor="accent1" w:themeShade="bf"/>
            </w:rPr>
          </w:pPr>
          <w:r>
            <w:rPr>
              <w:rFonts w:eastAsia="" w:cs="" w:cstheme="majorBidi" w:eastAsiaTheme="majorEastAsia"/>
              <w:b w:val="false"/>
              <w:bCs w:val="false"/>
              <w:color w:val="365F91" w:themeColor="accent1" w:themeShade="bf"/>
            </w:rPr>
            <w:t>Table of Contents</w:t>
          </w:r>
        </w:p>
        <w:p>
          <w:pPr>
            <w:pStyle w:val="Contents1"/>
            <w:rPr/>
          </w:pPr>
          <w:r>
            <w:fldChar w:fldCharType="begin"/>
          </w:r>
          <w:r>
            <w:rPr>
              <w:webHidden/>
              <w:rStyle w:val="IndexLink"/>
            </w:rPr>
            <w:instrText xml:space="preserve"> TOC \z \o "1-2" \u \h</w:instrText>
          </w:r>
          <w:r>
            <w:rPr>
              <w:webHidden/>
              <w:rStyle w:val="IndexLink"/>
            </w:rPr>
            <w:fldChar w:fldCharType="separate"/>
          </w:r>
          <w:hyperlink w:anchor="__RefHeading___Toc1129_3383370932">
            <w:r>
              <w:rPr>
                <w:webHidden/>
                <w:rStyle w:val="IndexLink"/>
              </w:rPr>
              <w:t>How this report was made</w:t>
              <w:tab/>
              <w:t>2</w:t>
            </w:r>
          </w:hyperlink>
        </w:p>
        <w:p>
          <w:pPr>
            <w:pStyle w:val="Contents1"/>
            <w:rPr/>
          </w:pPr>
          <w:hyperlink w:anchor="__RefHeading___Toc1131_3383370932">
            <w:r>
              <w:rPr>
                <w:webHidden/>
                <w:rStyle w:val="IndexLink"/>
              </w:rPr>
              <w:t>Chapter 1: Archaeology and identification methods</w:t>
              <w:tab/>
              <w:t>3</w:t>
            </w:r>
          </w:hyperlink>
        </w:p>
        <w:p>
          <w:pPr>
            <w:pStyle w:val="Contents1"/>
            <w:rPr/>
          </w:pPr>
          <w:hyperlink w:anchor="__RefHeading___Toc1133_3383370932">
            <w:r>
              <w:rPr>
                <w:webHidden/>
                <w:rStyle w:val="IndexLink"/>
              </w:rPr>
              <w:t>Chapter 2: Neolithic claims and the Tianluoshan debate</w:t>
              <w:tab/>
              <w:t>6</w:t>
            </w:r>
          </w:hyperlink>
        </w:p>
        <w:p>
          <w:pPr>
            <w:pStyle w:val="Contents1"/>
            <w:rPr/>
          </w:pPr>
          <w:hyperlink w:anchor="__RefHeading___Toc1135_3383370932">
            <w:r>
              <w:rPr>
                <w:webHidden/>
                <w:rStyle w:val="IndexLink"/>
              </w:rPr>
              <w:t>Chapter 3: Genetics, domestication patterns and centers of diversity</w:t>
              <w:tab/>
              <w:t>11</w:t>
            </w:r>
          </w:hyperlink>
        </w:p>
        <w:p>
          <w:pPr>
            <w:pStyle w:val="Contents1"/>
            <w:rPr/>
          </w:pPr>
          <w:hyperlink w:anchor="__RefHeading___Toc1137_3383370932">
            <w:r>
              <w:rPr>
                <w:webHidden/>
                <w:rStyle w:val="IndexLink"/>
              </w:rPr>
              <w:t>Chapter 4: Early textual evidence, codification and material culture in China</w:t>
              <w:tab/>
              <w:t>15</w:t>
            </w:r>
          </w:hyperlink>
        </w:p>
        <w:p>
          <w:pPr>
            <w:pStyle w:val="Contents2"/>
            <w:tabs>
              <w:tab w:val="clear" w:pos="9077"/>
              <w:tab w:val="right" w:pos="9360" w:leader="dot"/>
            </w:tabs>
            <w:rPr/>
          </w:pPr>
          <w:hyperlink w:anchor="__RefHeading___Toc1139_3383370932">
            <w:r>
              <w:rPr>
                <w:webHidden/>
                <w:rStyle w:val="IndexLink"/>
              </w:rPr>
              <w:t>Chapter 04: Early textual evidence, codification and material culture in China | words=~1400</w:t>
              <w:tab/>
              <w:t>15</w:t>
            </w:r>
          </w:hyperlink>
        </w:p>
        <w:p>
          <w:pPr>
            <w:pStyle w:val="Contents1"/>
            <w:rPr/>
          </w:pPr>
          <w:hyperlink w:anchor="__RefHeading___Toc1141_3383370932">
            <w:r>
              <w:rPr>
                <w:webHidden/>
                <w:rStyle w:val="IndexLink"/>
              </w:rPr>
              <w:t>Chapter 5: Overland and sea routes; transmission to Tibet, Korea and Japan</w:t>
              <w:tab/>
              <w:t>19</w:t>
            </w:r>
          </w:hyperlink>
        </w:p>
        <w:p>
          <w:pPr>
            <w:pStyle w:val="Contents1"/>
            <w:rPr/>
          </w:pPr>
          <w:hyperlink w:anchor="__RefHeading___Toc1143_3383370932">
            <w:r>
              <w:rPr>
                <w:webHidden/>
                <w:rStyle w:val="IndexLink"/>
              </w:rPr>
              <w:t>Chapter 6: European contact, commerce, and the tea–opium–imperial nexus</w:t>
              <w:tab/>
              <w:t>24</w:t>
            </w:r>
          </w:hyperlink>
        </w:p>
        <w:p>
          <w:pPr>
            <w:pStyle w:val="Contents1"/>
            <w:rPr/>
          </w:pPr>
          <w:hyperlink w:anchor="__RefHeading___Toc1145_3383370932">
            <w:r>
              <w:rPr>
                <w:webHidden/>
                <w:rStyle w:val="IndexLink"/>
              </w:rPr>
              <w:t>Chapter 7: Transplanting tea: plant collectors, plantations and industrial processing</w:t>
              <w:tab/>
              <w:t>28</w:t>
            </w:r>
          </w:hyperlink>
        </w:p>
        <w:p>
          <w:pPr>
            <w:pStyle w:val="Contents1"/>
            <w:rPr/>
          </w:pPr>
          <w:hyperlink w:anchor="__RefHeading___Toc1147_3383370932">
            <w:r>
              <w:rPr>
                <w:webHidden/>
                <w:rStyle w:val="IndexLink"/>
              </w:rPr>
              <w:t>Chapter 8: Ceremonies, material culture and tea’s many social lives</w:t>
              <w:tab/>
              <w:t>32</w:t>
            </w:r>
          </w:hyperlink>
        </w:p>
        <w:p>
          <w:pPr>
            <w:pStyle w:val="Contents1"/>
            <w:rPr/>
          </w:pPr>
          <w:hyperlink w:anchor="__RefHeading___Toc1149_3383370932">
            <w:r>
              <w:rPr>
                <w:webHidden/>
                <w:rStyle w:val="IndexLink"/>
              </w:rPr>
              <w:t>Appendix A: Data, methods and research gaps</w:t>
              <w:tab/>
              <w:t>37</w:t>
            </w:r>
          </w:hyperlink>
        </w:p>
        <w:p>
          <w:pPr>
            <w:pStyle w:val="Contents1"/>
            <w:rPr/>
          </w:pPr>
          <w:hyperlink w:anchor="__RefHeading___Toc1151_3383370932">
            <w:r>
              <w:rPr>
                <w:webHidden/>
                <w:rStyle w:val="IndexLink"/>
              </w:rPr>
              <w:t>Appendix B: Chronology and key dates</w:t>
              <w:tab/>
              <w:t>39</w:t>
            </w:r>
          </w:hyperlink>
        </w:p>
        <w:p>
          <w:pPr>
            <w:pStyle w:val="Contents2"/>
            <w:tabs>
              <w:tab w:val="clear" w:pos="9077"/>
              <w:tab w:val="right" w:pos="9360" w:leader="dot"/>
            </w:tabs>
            <w:rPr/>
          </w:pPr>
          <w:hyperlink w:anchor="__RefHeading___Toc1153_3383370932">
            <w:r>
              <w:rPr>
                <w:webHidden/>
                <w:rStyle w:val="IndexLink"/>
              </w:rPr>
              <w:t>Appendix B: Chronology and key dates | words=300</w:t>
              <w:tab/>
              <w:t>39</w:t>
            </w:r>
          </w:hyperlink>
        </w:p>
        <w:p>
          <w:pPr>
            <w:pStyle w:val="Contents1"/>
            <w:rPr/>
          </w:pPr>
          <w:hyperlink w:anchor="__RefHeading___Toc1155_3383370932">
            <w:r>
              <w:rPr>
                <w:webHidden/>
                <w:rStyle w:val="IndexLink"/>
              </w:rPr>
              <w:t>Sources cited</w:t>
              <w:tab/>
              <w:t>40</w:t>
            </w:r>
          </w:hyperlink>
        </w:p>
        <w:p>
          <w:pPr>
            <w:pStyle w:val="Contents1"/>
            <w:rPr/>
          </w:pPr>
          <w:hyperlink w:anchor="__RefHeading___Toc1157_3383370932">
            <w:r>
              <w:rPr>
                <w:webHidden/>
                <w:rStyle w:val="IndexLink"/>
              </w:rPr>
              <w:t>Also consulted</w:t>
              <w:tab/>
              <w:t>46</w:t>
            </w:r>
          </w:hyperlink>
        </w:p>
        <w:p>
          <w:pPr>
            <w:pStyle w:val="Contents1"/>
            <w:rPr/>
          </w:pPr>
          <w:hyperlink w:anchor="__RefHeading___Toc1159_3383370932">
            <w:r>
              <w:rPr>
                <w:webHidden/>
                <w:rStyle w:val="IndexLink"/>
              </w:rPr>
              <w:t>Fact check</w:t>
              <w:tab/>
              <w:t>50</w:t>
            </w:r>
          </w:hyperlink>
          <w:r>
            <w:rPr>
              <w:rStyle w:val="IndexLink"/>
            </w:rPr>
            <w:fldChar w:fldCharType="end"/>
          </w:r>
        </w:p>
      </w:sdtContent>
    </w:sdt>
    <w:p>
      <w:pPr>
        <w:pStyle w:val="Heading1"/>
        <w:rPr/>
      </w:pPr>
      <w:bookmarkStart w:id="0" w:name="__RefHeading___Toc1129_3383370932"/>
      <w:bookmarkStart w:id="1" w:name="how-this-report-was-made"/>
      <w:bookmarkEnd w:id="0"/>
      <w:r>
        <w:rPr/>
        <w:t>How this report was made</w:t>
      </w:r>
    </w:p>
    <w:p>
      <w:pPr>
        <w:pStyle w:val="FirstParagraph"/>
        <w:rPr/>
      </w:pPr>
      <w:r>
        <w:rPr/>
        <w:t>This report was researched and written by Aii Cloud from 4 research areas and 95 sources.</w:t>
      </w:r>
    </w:p>
    <w:p>
      <w:pPr>
        <w:pStyle w:val="TextBody"/>
        <w:rPr/>
      </w:pPr>
      <w:r>
        <w:rPr/>
        <w:t>Every figure in the chapters comes from a shared fact sheet, and each citation [N] points to the Sources appendix.</w:t>
      </w:r>
    </w:p>
    <w:p>
      <w:pPr>
        <w:pStyle w:val="TextBody"/>
        <w:rPr/>
      </w:pPr>
      <w:r>
        <w:rPr/>
        <w:t>8 claims were picked; 1 was checked against its cited pages: 1 confirmed, 0 corrected, 0 removed; 7 could not be fully checked.</w:t>
      </w:r>
    </w:p>
    <w:p>
      <w:pPr>
        <w:pStyle w:val="PartTitle"/>
        <w:rPr/>
      </w:pPr>
      <w:bookmarkStart w:id="2" w:name="how-this-report-was-made"/>
      <w:r>
        <w:rPr/>
        <w:t>Origins &amp; Early Development</w:t>
      </w:r>
      <w:bookmarkEnd w:id="2"/>
    </w:p>
    <w:p>
      <w:pPr>
        <w:pStyle w:val="Heading1"/>
        <w:rPr/>
      </w:pPr>
      <w:bookmarkStart w:id="3" w:name="__RefHeading___Toc1131_3383370932"/>
      <w:bookmarkStart w:id="4" w:name="X00d915b0a696946d7a428bc41c1fa9e71a0ea39"/>
      <w:bookmarkEnd w:id="3"/>
      <w:r>
        <w:rPr/>
        <w:t>Chapter 1: Archaeology and identification methods</w:t>
      </w:r>
    </w:p>
    <w:p>
      <w:pPr>
        <w:pStyle w:val="FirstParagraph"/>
        <w:rPr/>
      </w:pPr>
      <w:r>
        <w:rPr/>
        <w:t>Archaeological claims about early tea (Camellia sinensis) have advanced rapidly in the last decade because researchers combined microfossil morphologies with targeted biomolecular detection. The most convincing physical identifications rely on a multi-proxy protocol that pairs diagnostic calcium</w:t>
        <w:noBreakHyphen/>
        <w:t>oxalate phytolith and crystal morphologies with detection of Theaceae</w:t>
        <w:noBreakHyphen/>
        <w:t>associated biomarkers—principally L</w:t>
        <w:noBreakHyphen/>
        <w:t>theanine and caffeine—measured by LC/HRMS or GC/MS. When applied together to securely dated contexts, these techniques provide the clearest archaeological evidence that people were handling, consuming, or depositing tea in the first millennium BCE and that tea reached the Tibetan Plateau by the early centuries CE [2].</w:t>
      </w:r>
    </w:p>
    <w:p>
      <w:pPr>
        <w:pStyle w:val="TextBody"/>
        <w:rPr/>
      </w:pPr>
      <w:r>
        <w:rPr/>
        <w:t>Identification methods and their rationale - Microfossil morphology: Plant tissues often preserve calcium</w:t>
        <w:noBreakHyphen/>
        <w:t>oxalate crystals and phytoliths whose size, shape and internal features can be taxonomically informative. Analysts use reference collections of modern Camellia tissues to identify morphological signatures that recur in archaeological residues. In degraded deposits where leaf anatomy is lost, these microfossil indicators are an essential morphological line of evidence supporting a Camellia attribution [2]. - Chemical biomarkers: L</w:t>
        <w:noBreakHyphen/>
        <w:t>theanine (an amino acid abundant in Camellia sinensis) and caffeine are the principal chemical markers used. Modern tea has a characteristic theanine profile that, together with caffeine, distinguishes many tea products from other caffeinated plants. Analysts typically use liquid chromatography with high</w:t>
        <w:noBreakHyphen/>
        <w:t>resolution mass spectrometry (LC/HRMS) or gas chromatography–mass spectrometry (GC/MS) to detect these compounds in small, degraded samples [2]. - Multi</w:t>
        <w:noBreakHyphen/>
        <w:t>proxy logic: Each proxy has limitations on its own: phytolith morphology can overlap with other taxa; theanine is not strictly unique to Camellia and can be diagenetically altered; caffeine occurs in multiple plant genera. The methodological advance is to require co</w:t>
        <w:noBreakHyphen/>
        <w:t>occurrence of morphological and chemical indicators in the same context, plus independent radiocarbon or stratigraphic dating. This reduces false positives and increases confidence that an archaeological residue represents tea rather than another plant or post</w:t>
        <w:noBreakHyphen/>
        <w:t>depositional contamination [2].</w:t>
      </w:r>
    </w:p>
    <w:p>
      <w:pPr>
        <w:pStyle w:val="TextBody"/>
        <w:rPr/>
      </w:pPr>
      <w:r>
        <w:rPr/>
        <w:t>Securely dated physical remains: Han and Tibetan samples - Han Yangling (near Xi’an): Using the multi</w:t>
        <w:noBreakHyphen/>
        <w:t>proxy protocol, researchers identified a sample (DK15</w:t>
        <w:noBreakHyphen/>
        <w:t>1) from a Han dynasty burial (Han Yangling Mausoleum) as tea on the basis of diagnostic phytoliths together with theanine and caffeine signatures. AMS radiocarbon dating of the sample returned 255 ± 80 BCE (commonly interpreted as approximately 2,100 years before present), placing physical tea remains in central China in the late first millennium BCE [2]. - Gurgyam (Gurgyam/XZ</w:t>
        <w:noBreakHyphen/>
        <w:t>1, western Tibet): A second identified sample (XZ</w:t>
        <w:noBreakHyphen/>
        <w:t>1) came from the Gurgyam cemetery, a high</w:t>
        <w:noBreakHyphen/>
        <w:t>altitude tomb deposit at ~4,290 m asl. The sample produced radiocarbon dates clustering around ~1,800 years before present (second–third century CE). Its presence at high altitude is archaeologically significant because it implies long</w:t>
        <w:noBreakHyphen/>
        <w:t>distance transmission—either of dried/processed tea or of prepared tea—as part of early trans</w:t>
        <w:noBreakHyphen/>
        <w:t>Himalayan exchange networks [2][8]. These two samples form the best</w:t>
        <w:noBreakHyphen/>
        <w:t>documented, directly dated physical evidence set that ties chemical/microfossil signatures to both late Western Han contexts and early transmission into Tibet [2].</w:t>
      </w:r>
    </w:p>
    <w:p>
      <w:pPr>
        <w:pStyle w:val="TextBody"/>
        <w:rPr/>
      </w:pPr>
      <w:r>
        <w:rPr/>
        <w:t>What the finds reliably establish - Presence and use in central China by late first millennium BCE: The multi</w:t>
        <w:noBreakHyphen/>
        <w:t>proxy Han sample provides the clearest physical anchor for tea use in a Han elite burial context around the late first millennium BCE, complementing earlier textual references that mention tea as a commodity by the Western Han period [2][7]. - Transmission to Tibet by early centuries CE: The Gurgyam find at high altitude demonstrates that tea (or processed tea products) moved considerable distances into the Tibetan Plateau by the early centuries CE, consistent with archaeological models of early Silk</w:t>
        <w:noBreakHyphen/>
        <w:t>Road</w:t>
        <w:noBreakHyphen/>
        <w:t>style exchange routes that reached into Tibet [2][8]. - Practical utility of the multi</w:t>
        <w:noBreakHyphen/>
        <w:t>proxy method: Combining phytolith/crystal morphology with theanine and caffeine detection is a practical and replicable approach for recognising tea in poorly preserved organic contexts where macroscopic leaf material is absent. This methodological synthesis is arguably the most important recent advance in archaeobotanical tea studies [2].</w:t>
      </w:r>
    </w:p>
    <w:p>
      <w:pPr>
        <w:pStyle w:val="TextBody"/>
        <w:rPr/>
      </w:pPr>
      <w:r>
        <w:rPr/>
        <w:t>Methodological limits and unresolved issues - Biomarker specificity and diagenesis: L</w:t>
        <w:noBreakHyphen/>
        <w:t>theanine is a valuable indicator but not strictly exclusive to living tea; it also appears in other taxa and can undergo diagenetic changes in archaeological contexts. That reduces its specificity when used alone, and analysts warn that single</w:t>
        <w:noBreakHyphen/>
        <w:t>compound detections must be treated cautiously unless supported by morphology and contextual integrity [82][95][2]. - Phytolith overlap and morphological ambiguity: Calcium</w:t>
        <w:noBreakHyphen/>
        <w:t>oxalate crystal forms and phytoliths can be diagnostic but sometimes overlap with non</w:t>
        <w:noBreakHyphen/>
        <w:t>Theaceae species. Robust identifications therefore depend on well</w:t>
        <w:noBreakHyphen/>
        <w:t>developed reference sets and on the co</w:t>
        <w:noBreakHyphen/>
        <w:t>occurrence of multiple morphological features that match Camellia reference material [2]. - Taphonomy and contamination risks: Perishable plant remains are vulnerable to contamination and intrusive material. Secure stratigraphic context, careful sampling protocols, and direct AMS dating of the residue itself (when possible) are essential to exclude later intrusion or modern contamination [2]. - Gap in ancient DNA confirmation: A significant evidentiary gap remains: researchers have not yet produced widely accepted ancient</w:t>
        <w:noBreakHyphen/>
        <w:t>DNA (aDNA) sequences from securely dated Camellia remains (for example, Tianluoshan rhizomes or Han/Tibetan samples) that place archaeological material within a phylogenetic framework connecting it to modern Camellia sinensis lineages. The absence of reproducible aDNA confirmation limits the ability to assert species</w:t>
        <w:noBreakHyphen/>
        <w:t>level continuity or to trace domestication lineages directly from archaeological specimens to modern cultivars [74][79][92]. - Lack of a reconciled chronology: Although the Han and Gurgyam finds anchor tea in late first millennium BCE central China and on the Tibetan Plateau by the early centuries CE, the broader chronology remains composite. Other claims—most notably Neolithic reports from Tianluoshan/Hemudu that have been summarized as ~6,000 BP—exist in the literature but lack the same multi</w:t>
        <w:noBreakHyphen/>
        <w:t>proxy biochemical confirmation and aDNA replication. As a result, there is no single, comprehensive chronology reconciling macrofossil, microfossil and textual claims into an unambiguous timeline [2][4][6].</w:t>
      </w:r>
    </w:p>
    <w:p>
      <w:pPr>
        <w:pStyle w:val="TextBody"/>
        <w:rPr/>
      </w:pPr>
      <w:r>
        <w:rPr/>
        <w:t>The Tianluoshan/Hemudu debate (briefly framed) - Excavators at Tianluoshan reported in situ rhizome/root remains, phytolith assemblages, and chemical detection of L</w:t>
        <w:noBreakHyphen/>
        <w:t>theanine that they interpreted as evidence for managed Camellia in Neolithic Lower Yangtze contexts (commonly cited as ≈6,000 BP). These claims catalysed wide public and scholarly interest because, if confirmed, they would push tea management far earlier than other secure physical finds [92][90]. - Specialist critiques emphasize that the Tianluoshan argument currently rests on single</w:t>
        <w:noBreakHyphen/>
        <w:t>compound biomarker detection (theanine) plus context and morphology; critics call for independent biomolecular replication, species</w:t>
        <w:noBreakHyphen/>
        <w:t>diagnostic aDNA recovery, and broader multi</w:t>
        <w:noBreakHyphen/>
        <w:t>compound metabolomic work before treating the Neolithic claim as settled. In short: influential and intriguing, but not yet corroborated with the multi</w:t>
        <w:noBreakHyphen/>
        <w:t>proxy evidence standards applied to the Han/Tibet samples [82][95][90].</w:t>
      </w:r>
    </w:p>
    <w:p>
      <w:pPr>
        <w:pStyle w:val="TextBody"/>
        <w:rPr/>
      </w:pPr>
      <w:bookmarkStart w:id="5" w:name="X00d915b0a696946d7a428bc41c1fa9e71a0ea39"/>
      <w:r>
        <w:rPr/>
        <w:t>Implications for domestication narratives - The archaeological record—when combined with genetic and botanical syntheses—supports a picture in which tea use was established in central China by the late first millennium BCE and then spread regionally and across high</w:t>
        <w:noBreakHyphen/>
        <w:t>altitude routes into Tibet by the early centuries CE. However, domestication and cultivar diversification appear geographically complex: genetic surveys point to multiple centers (notably Yunnan and eastern provinces) and extensive introgression, rather than a single domestication locus traceable from the current archaeological evidence alone [4][79][80]. - The absence of reproducible aDNA from secure Neolithic Camellia remains means archaeobotany cannot yet connect early putative management (e.g., Tianluoshan) to modern lineages with confidence. Filling that gap—through replicated biomarker studies, targeted ancient</w:t>
        <w:noBreakHyphen/>
        <w:t>DNA recovery and denser genomic sampling of wild relatives—remains the field’s priority if archaeologists and geneticists are to reconcile early claims with population</w:t>
        <w:noBreakHyphen/>
        <w:t>genetic histories [74][79][80].</w:t>
      </w:r>
      <w:bookmarkEnd w:id="5"/>
    </w:p>
    <w:p>
      <w:pPr>
        <w:pStyle w:val="Heading1"/>
        <w:rPr/>
      </w:pPr>
      <w:bookmarkStart w:id="6" w:name="__RefHeading___Toc1133_3383370932"/>
      <w:bookmarkStart w:id="7" w:name="Xe81111c6ceed17c68bae6e6e9fa7d44c43df7e3"/>
      <w:bookmarkEnd w:id="6"/>
      <w:r>
        <w:rPr/>
        <w:t>Chapter 2: Neolithic claims and the Tianluoshan debate</w:t>
      </w:r>
    </w:p>
    <w:p>
      <w:pPr>
        <w:pStyle w:val="FirstParagraph"/>
        <w:rPr/>
      </w:pPr>
      <w:r>
        <w:rPr/>
        <w:t>This chapter examines the principal Neolithic claims that place Camellia-type plants (commonly reported as “tea”) at Tianluoshan/Hemudu in the Lower Yangtze ca. 7000–6000 BP, the analytical evidence offered (notably theanine detection and phytolith context), and the methodological challenges that prevent treating the claim as settled. It then summarizes what independently reproducible evidence would be needed to move the debate forward.</w:t>
      </w:r>
    </w:p>
    <w:p>
      <w:pPr>
        <w:pStyle w:val="Heading3"/>
        <w:rPr/>
      </w:pPr>
      <w:bookmarkStart w:id="8" w:name="the-tianluoshan-claim-what-was-reported"/>
      <w:r>
        <w:rPr/>
        <w:t>The Tianluoshan claim: what was reported</w:t>
      </w:r>
    </w:p>
    <w:p>
      <w:pPr>
        <w:pStyle w:val="FirstParagraph"/>
        <w:rPr/>
      </w:pPr>
      <w:bookmarkStart w:id="9" w:name="the-tianluoshan-claim-what-was-reported"/>
      <w:r>
        <w:rPr/>
        <w:t>Excavations at Tianluoshan (Yuyao, Zhejiang) — a Neolithic site associated with Hemudu-related cultural phases — produced in situ rhizome/root remains and phytolith assemblages interpreted as part of wetland cultivation and field systems. Chemical analyses reported detection of L</w:t>
        <w:noBreakHyphen/>
        <w:t>theanine in preserved root material from those contexts; excavators and some subsequent summaries interpret the combination of morphological context, phytoliths and theanine as evidence for managed or cultivated Camellia-type plants at the site, commonly summarized in secondary sources as “tea cultivated ≈6000 BP.” The site’s cultural timeframe is conventionally given as ca. 7000–6000 BP in excavation reports and syntheses [92][93][90][86]. (Facts used: Tianluoshan archaeobotanical finds; Tianluoshan biomarker detection; excavators’ interpretation; Tianluoshan site timeframe; popular reception.)</w:t>
      </w:r>
      <w:bookmarkEnd w:id="9"/>
    </w:p>
    <w:p>
      <w:pPr>
        <w:pStyle w:val="Heading3"/>
        <w:rPr/>
      </w:pPr>
      <w:bookmarkStart w:id="10" w:name="X678fd43d51c49e00ccf41e9784a428986fe02ca"/>
      <w:r>
        <w:rPr/>
        <w:t>Analytical components behind the interpretation</w:t>
      </w:r>
    </w:p>
    <w:p>
      <w:pPr>
        <w:pStyle w:val="FirstParagraph"/>
        <w:rPr/>
      </w:pPr>
      <w:r>
        <w:rPr/>
        <w:t>Three analytical strands are central to the claim:</w:t>
      </w:r>
    </w:p>
    <w:p>
      <w:pPr>
        <w:pStyle w:val="Normal"/>
        <w:numPr>
          <w:ilvl w:val="0"/>
          <w:numId w:val="1"/>
        </w:numPr>
        <w:rPr/>
      </w:pPr>
      <w:r>
        <w:rPr/>
        <w:t>Macromorphology and context. Excavators reported root/rhizome elements in contexts interpreted as in situ, associated with wetland agricultural features and structured depositional layers that suggest deliberate planting or management rather than casual wild collection [92][89]. Phytolith assemblages from the site contribute to reconstructing wetland cultivation and landscape use, supplying a contextual signal of anthropogenic plant management rather than a purely wild occurrence [89][90].</w:t>
      </w:r>
    </w:p>
    <w:p>
      <w:pPr>
        <w:pStyle w:val="Normal"/>
        <w:numPr>
          <w:ilvl w:val="0"/>
          <w:numId w:val="1"/>
        </w:numPr>
        <w:rPr/>
      </w:pPr>
      <w:r>
        <w:rPr/>
        <w:t>Phytolith and microfossil morphology. Certain calcium</w:t>
        <w:noBreakHyphen/>
        <w:t>oxalate crystal types and phytolith morphologies have been used in other archaeobotanical studies to distinguish Camellia</w:t>
        <w:noBreakHyphen/>
        <w:t>type tissues from other plant taxa. At Tianluoshan, phytolith analyses have been cited to support a Camellia</w:t>
        <w:noBreakHyphen/>
        <w:t>compatible morphological signal in the plant remains recovered [89][90].</w:t>
      </w:r>
    </w:p>
    <w:p>
      <w:pPr>
        <w:pStyle w:val="Normal"/>
        <w:numPr>
          <w:ilvl w:val="0"/>
          <w:numId w:val="1"/>
        </w:numPr>
        <w:rPr/>
      </w:pPr>
      <w:r>
        <w:rPr/>
        <w:t>Chemical biomarker detection (L</w:t>
        <w:noBreakHyphen/>
        <w:t>theanine). Chemical assays reported L</w:t>
        <w:noBreakHyphen/>
        <w:t>theanine in the preserved root material. L</w:t>
        <w:noBreakHyphen/>
        <w:t>theanine is an amino acid commonly associated with Camellia sinensis and is therefore treated as a biomarker consistent with tea/related Theaceae material when found alongside morphological indicators [90][92].</w:t>
      </w:r>
    </w:p>
    <w:p>
      <w:pPr>
        <w:pStyle w:val="FirstParagraph"/>
        <w:rPr/>
      </w:pPr>
      <w:bookmarkStart w:id="11" w:name="X678fd43d51c49e00ccf41e9784a428986fe02ca"/>
      <w:r>
        <w:rPr/>
        <w:t>When combined, these three lines—contextual macromorphology, diagnostic phytolith/microfossil morphology, and theanine detection—form the evidentiary package that proponents cite for Neolithic Camellia management at Tianluoshan.</w:t>
      </w:r>
      <w:bookmarkEnd w:id="11"/>
    </w:p>
    <w:p>
      <w:pPr>
        <w:pStyle w:val="Heading3"/>
        <w:rPr/>
      </w:pPr>
      <w:bookmarkStart w:id="12" w:name="why-the-claim-is-influential"/>
      <w:r>
        <w:rPr/>
        <w:t>Why the claim is influential</w:t>
      </w:r>
    </w:p>
    <w:p>
      <w:pPr>
        <w:pStyle w:val="FirstParagraph"/>
        <w:rPr/>
      </w:pPr>
      <w:bookmarkStart w:id="13" w:name="why-the-claim-is-influential"/>
      <w:r>
        <w:rPr/>
        <w:t>The Tianluoshan reports, widely disseminated in popular and some academic summaries, push the temporal horizon for human interaction with Camellia</w:t>
        <w:noBreakHyphen/>
        <w:t>type plants substantially earlier than securely-dated cultural contexts identified by the multi</w:t>
        <w:noBreakHyphen/>
        <w:t>proxy methods applied to Han-period and Tibetan samples. If substantiated at species-level and reproducible, a Neolithic instance of managed Camellia would reshape narratives about the antiquity of tea-related plant use and the timing of early plant management in the Lower Yangtze floodplain [86][92]. The reports have therefore attracted attention outside specialist circles and entered national and popular narratives about tea’s deep past [86][92].</w:t>
      </w:r>
      <w:bookmarkEnd w:id="13"/>
    </w:p>
    <w:p>
      <w:pPr>
        <w:pStyle w:val="Heading3"/>
        <w:rPr/>
      </w:pPr>
      <w:bookmarkStart w:id="14" w:name="X59c27f8f64db504231c461e8c9a0f1654b5d8ac"/>
      <w:r>
        <w:rPr/>
        <w:t>Methodological cautions and critical responses</w:t>
      </w:r>
    </w:p>
    <w:p>
      <w:pPr>
        <w:pStyle w:val="FirstParagraph"/>
        <w:rPr/>
      </w:pPr>
      <w:r>
        <w:rPr/>
        <w:t>Specialist critiques emphasize several methodological limitations that together make the Tianluoshan claim contested rather than conclusively established.</w:t>
      </w:r>
    </w:p>
    <w:p>
      <w:pPr>
        <w:pStyle w:val="Normal"/>
        <w:numPr>
          <w:ilvl w:val="0"/>
          <w:numId w:val="8"/>
        </w:numPr>
        <w:rPr/>
      </w:pPr>
      <w:r>
        <w:rPr/>
        <w:t>Biomarker specificity and preservation issues. L</w:t>
        <w:noBreakHyphen/>
        <w:t>theanine is informative but not uniquely diagnostic of living Camellia sinensis. It occurs in other taxa and may be subject to diagenetic alteration over millennia. Preservation environments and post</w:t>
        <w:noBreakHyphen/>
        <w:t>depositional chemistry can affect both presence/absence and detectability; single</w:t>
        <w:noBreakHyphen/>
        <w:t>compound detection therefore risks false positives or ambiguous taxonomic assignment if not corroborated by additional species</w:t>
        <w:noBreakHyphen/>
        <w:t>diagnostic data (for example, taxon</w:t>
        <w:noBreakHyphen/>
        <w:t>specific DNA sequences or multiple independent metabolite markers) [82][95]. (Facts used: Biomarker specificity caution; methodological critiques.)</w:t>
      </w:r>
    </w:p>
    <w:p>
      <w:pPr>
        <w:pStyle w:val="Normal"/>
        <w:numPr>
          <w:ilvl w:val="0"/>
          <w:numId w:val="9"/>
        </w:numPr>
        <w:rPr/>
      </w:pPr>
      <w:r>
        <w:rPr/>
        <w:t>Lack of reproducible aDNA or broad biomolecular replication. To date, the literature assembled here does not include a peer</w:t>
        <w:noBreakHyphen/>
        <w:t>reviewed ancient</w:t>
        <w:noBreakHyphen/>
        <w:t>DNA (aDNA) study recovering Camellia nuclear or plastid sequences from Tianluoshan (or Hemudu) remains that would directly link the archaeological material to modern Camellia sinensis lineages. Likewise, there is no broad, independently replicated metabolomics study combining multiple diagnostic compounds plus aDNA to provide mutual confirmation. The absence of reproducible aDNA confirmation is cited repeatedly as the primary evidentiary gap [82][95]. (Facts used: Not found: archaeological aDNA confirmation; Not found: replicated biomarker confirmation.)</w:t>
      </w:r>
    </w:p>
    <w:p>
      <w:pPr>
        <w:pStyle w:val="Normal"/>
        <w:numPr>
          <w:ilvl w:val="0"/>
          <w:numId w:val="10"/>
        </w:numPr>
        <w:rPr/>
      </w:pPr>
      <w:r>
        <w:rPr/>
        <w:t>Morphological ambiguity in preserved root material. Rhizomes and roots of several unrelated taxa can present similar macroscopic or micromorphological characters in degraded archaeological contexts. Phytolith data help but rarely provide the same taxonomic precision as DNA or a broad multi</w:t>
        <w:noBreakHyphen/>
        <w:t>compound chemical fingerprint. Thus, morphology-plus-one-chemical-marker is weaker than a multi-proxy set that includes genetic evidence [89][90][82].</w:t>
      </w:r>
    </w:p>
    <w:p>
      <w:pPr>
        <w:pStyle w:val="Normal"/>
        <w:numPr>
          <w:ilvl w:val="0"/>
          <w:numId w:val="11"/>
        </w:numPr>
        <w:rPr/>
      </w:pPr>
      <w:bookmarkStart w:id="15" w:name="X59c27f8f64db504231c461e8c9a0f1654b5d8ac"/>
      <w:r>
        <w:rPr/>
        <w:t>Publication accessibility and replication. Some key reports and data have appeared in domestic-language publications, site reports or summaries; the full primary</w:t>
        <w:noBreakHyphen/>
        <w:t>data papers using internationally comparable multi</w:t>
        <w:noBreakHyphen/>
        <w:t>proxy protocols are not uniformly available in open international venues. This limits independent replication and cross</w:t>
        <w:noBreakHyphen/>
        <w:t>laboratory verification, reducing confidence outside the immediate excavation team and its interlocutors [6][4]. (Facts used: Popular and official reception; Not found: fully published peer</w:t>
        <w:noBreakHyphen/>
        <w:t>reviewed biomarker confirmation; retrieval failures noted elsewhere.)</w:t>
      </w:r>
      <w:bookmarkEnd w:id="15"/>
    </w:p>
    <w:p>
      <w:pPr>
        <w:pStyle w:val="Heading3"/>
        <w:rPr/>
      </w:pPr>
      <w:bookmarkStart w:id="16" w:name="X74d8d35aaeaea65d68e86e570b604bcb21e6dcb"/>
      <w:r>
        <w:rPr/>
        <w:t>Evaluating the claim in light of contemporary standards</w:t>
      </w:r>
    </w:p>
    <w:p>
      <w:pPr>
        <w:pStyle w:val="FirstParagraph"/>
        <w:rPr/>
      </w:pPr>
      <w:r>
        <w:rPr/>
        <w:t>Archaeological inference for species identification in ancient plant remains has shifted toward integrated, mutually reinforcing lines of evidence: well</w:t>
        <w:noBreakHyphen/>
        <w:t>documented stratigraphic context, diagnostic microfossils (phytoliths/crystals) with clear comparative baselines, multiple independent biomolecular markers (e.g., theanine plus other Theaceae</w:t>
        <w:noBreakHyphen/>
        <w:t>characteristic metabolites), and, ideally, recoverable aDNA demonstrating species</w:t>
        <w:noBreakHyphen/>
        <w:t>level affinity to modern taxa. By those standards, Tianluoshan currently provides persuasive contextual and phytolith data and a positive theanine signal — but it lacks the independent molecular replication (multi</w:t>
        <w:noBreakHyphen/>
        <w:t>compound metabolomics) and ancient</w:t>
        <w:noBreakHyphen/>
        <w:t>DNA confirmation that would make the species</w:t>
        <w:noBreakHyphen/>
        <w:t>level claim robust and widely accepted outside specialist debates [82][90][92][95].</w:t>
      </w:r>
    </w:p>
    <w:p>
      <w:pPr>
        <w:pStyle w:val="TextBody"/>
        <w:rPr/>
      </w:pPr>
      <w:bookmarkStart w:id="17" w:name="X74d8d35aaeaea65d68e86e570b604bcb21e6dcb"/>
      <w:r>
        <w:rPr/>
        <w:t>Concretely: the Tianluoshan assemblage plausibly reflects human interaction with Camellia</w:t>
        <w:noBreakHyphen/>
        <w:t>type plants in the Neolithic Lower Yangtze, but the evidence as presently available cannot exclude alternative explanations (e.g., theanine derived from other taxa, diagenetic contamination, or misidentified plant tissue) without aDNA or replicated, multi</w:t>
        <w:noBreakHyphen/>
        <w:t>compound biomarker panels and transparent, open datasets for reanalysis.</w:t>
      </w:r>
      <w:bookmarkEnd w:id="17"/>
    </w:p>
    <w:p>
      <w:pPr>
        <w:pStyle w:val="Heading3"/>
        <w:rPr/>
      </w:pPr>
      <w:bookmarkStart w:id="18" w:name="what-would-resolve-the-debate"/>
      <w:r>
        <w:rPr/>
        <w:t>What would resolve the debate</w:t>
      </w:r>
    </w:p>
    <w:p>
      <w:pPr>
        <w:pStyle w:val="FirstParagraph"/>
        <w:rPr/>
      </w:pPr>
      <w:r>
        <w:rPr/>
        <w:t>Progress requires reproducible, independently verified molecular and genetic evidence tied to secure context. Specifically:</w:t>
      </w:r>
    </w:p>
    <w:p>
      <w:pPr>
        <w:pStyle w:val="Normal"/>
        <w:numPr>
          <w:ilvl w:val="0"/>
          <w:numId w:val="12"/>
        </w:numPr>
        <w:rPr/>
      </w:pPr>
      <w:r>
        <w:rPr/>
        <w:t>Ancient DNA from the Tianluoshan root/rhizome remains that yields plastid or nuclear sequences placing the specimens within the Camellia sinensis clade, with sufficient coverage and authentication to rule out modern contamination. This would directly test whether the archaeological material belongs to the lineage that gave rise to modern tea cultivars.</w:t>
      </w:r>
    </w:p>
    <w:p>
      <w:pPr>
        <w:pStyle w:val="Normal"/>
        <w:numPr>
          <w:ilvl w:val="0"/>
          <w:numId w:val="13"/>
        </w:numPr>
        <w:rPr/>
      </w:pPr>
      <w:r>
        <w:rPr/>
        <w:t>Independently replicated targeted metabolomics detecting multiple Theaceae</w:t>
        <w:noBreakHyphen/>
        <w:t>characteristic compounds (not only theanine) using blind interlaboratory protocols and authenticated reference collections, demonstrating the same signature across samples and laboratories.</w:t>
      </w:r>
    </w:p>
    <w:p>
      <w:pPr>
        <w:pStyle w:val="Normal"/>
        <w:numPr>
          <w:ilvl w:val="0"/>
          <w:numId w:val="14"/>
        </w:numPr>
        <w:rPr/>
      </w:pPr>
      <w:r>
        <w:rPr/>
        <w:t>Published, open</w:t>
        <w:noBreakHyphen/>
        <w:t>access data sets (raw chromatograms, sequence reads, phytolith micrographs, stratigraphic logs) enabling independent reanalysis and critique.</w:t>
      </w:r>
    </w:p>
    <w:p>
      <w:pPr>
        <w:pStyle w:val="Normal"/>
        <w:numPr>
          <w:ilvl w:val="0"/>
          <w:numId w:val="15"/>
        </w:numPr>
        <w:rPr/>
      </w:pPr>
      <w:r>
        <w:rPr/>
        <w:t>Denser comparative sampling of coeval sites and wild plant assemblages in the Lower Yangtze to show whether such Camellia</w:t>
        <w:noBreakHyphen/>
        <w:t>type signatures are widespread and associated with management behaviours rather than isolated occurrences.</w:t>
      </w:r>
    </w:p>
    <w:p>
      <w:pPr>
        <w:pStyle w:val="FirstParagraph"/>
        <w:rPr/>
      </w:pPr>
      <w:bookmarkStart w:id="19" w:name="what-would-resolve-the-debate"/>
      <w:r>
        <w:rPr/>
        <w:t>Reviews and specialist commentaries have urged precisely these integrated steps: aDNA, dense genomic sampling of modern wild relatives, multi</w:t>
        <w:noBreakHyphen/>
        <w:t>compound biomarker panels, and careful phytolith/contextual work — together these could confirm or refute the Neolithic</w:t>
        <w:noBreakHyphen/>
        <w:t>Camellia interpretation in a way that is robust to alternative explanations [74][79][82].</w:t>
      </w:r>
      <w:bookmarkEnd w:id="19"/>
    </w:p>
    <w:p>
      <w:pPr>
        <w:pStyle w:val="Heading3"/>
        <w:rPr/>
      </w:pPr>
      <w:bookmarkStart w:id="20" w:name="interim-conclusion"/>
      <w:r>
        <w:rPr/>
        <w:t>Interim conclusion</w:t>
      </w:r>
    </w:p>
    <w:p>
      <w:pPr>
        <w:pStyle w:val="FirstParagraph"/>
        <w:rPr/>
      </w:pPr>
      <w:r>
        <w:rPr/>
        <w:t>Tianluoshan remains an influential and provocative claim for very early human interaction with Camellia</w:t>
        <w:noBreakHyphen/>
        <w:t>type plants in the Lower Yangtze. Excavators’ combination of in situ rhizome remains, phytolith contexts and theanine detection provides a plausible case for managed plant use in Neolithic wetland systems. However, methodological constraints — principally the non</w:t>
        <w:noBreakHyphen/>
        <w:t>exclusive nature of theanine as a biomarker, the lack of peer</w:t>
        <w:noBreakHyphen/>
        <w:t>reviewed aDNA confirmation, and limited open data for independent replication — mean the claim must be treated as provisional. Current disciplinary standards favour integrating aDNA and multi</w:t>
        <w:noBreakHyphen/>
        <w:t>compound biomarker replication before accepting a species</w:t>
        <w:noBreakHyphen/>
        <w:t>level identification of Camellia sinensis at Tianluoshan. Until such corroboration appears, the Neolithic</w:t>
        <w:noBreakHyphen/>
        <w:t>tea interpretation remains a well</w:t>
        <w:noBreakHyphen/>
        <w:t>argued hypothesis rather than a settled fact. (Facts used throughout: Tianluoshan archaeobotanical finds; biomarker detection; excavators’ interpretation; phytolith contribution; methodological critiques; biomarker specificity caution; not-found gaps.)</w:t>
      </w:r>
    </w:p>
    <w:p>
      <w:pPr>
        <w:pStyle w:val="PartTitle"/>
        <w:rPr/>
      </w:pPr>
      <w:bookmarkStart w:id="21" w:name="Xe81111c6ceed17c68bae6e6e9fa7d44c43df7e3"/>
      <w:bookmarkStart w:id="22" w:name="interim-conclusion"/>
      <w:r>
        <w:rPr/>
        <w:t>Botanical and Genetic History</w:t>
      </w:r>
      <w:bookmarkEnd w:id="21"/>
      <w:bookmarkEnd w:id="22"/>
    </w:p>
    <w:p>
      <w:pPr>
        <w:pStyle w:val="Heading1"/>
        <w:rPr/>
      </w:pPr>
      <w:bookmarkStart w:id="23" w:name="__RefHeading___Toc1135_3383370932"/>
      <w:bookmarkStart w:id="24" w:name="X33883d9971898c2cad2deefb8e9c282209748fc"/>
      <w:bookmarkEnd w:id="23"/>
      <w:r>
        <w:rPr/>
        <w:t>Chapter 3: Genetics, domestication patterns and centers of diversity</w:t>
      </w:r>
    </w:p>
    <w:p>
      <w:pPr>
        <w:pStyle w:val="FirstParagraph"/>
        <w:rPr/>
      </w:pPr>
      <w:r>
        <w:rPr/>
        <w:t>This chapter synthesizes genomic, SNP</w:t>
        <w:noBreakHyphen/>
        <w:t>scale and phylogeographic work on Camellia sinensis and its wild relatives to assess where, when and how cultivated tea emerged. It emphasizes what genetic evidence can and cannot say about domestication timing and directionality, describes the major cultivar groups and their geographic structure, and lists the principal gaps that constrain a definitive single</w:t>
        <w:noBreakHyphen/>
        <w:t>origin narrative. All figures and claims cite the sources provided in the dossier set.</w:t>
      </w:r>
    </w:p>
    <w:p>
      <w:pPr>
        <w:pStyle w:val="TextBody"/>
        <w:rPr/>
      </w:pPr>
      <w:r>
        <w:rPr/>
        <w:t>Genetic picture in brief - Modern genetic and botanical syntheses characterize cultivated tea as a genomically heterogeneous crop shaped by multiple local domestication/selection events and extensive introgression from wild Camellia relatives, rather than by a single, uncontested domestication locus or singular founding population [74][79][80]. This complexity explains why different studies point to different geographic centers (southwest Yunnan versus eastern provinces) depending on sample composition, markers used and the cultivar groups studied [74][80].</w:t>
      </w:r>
    </w:p>
    <w:p>
      <w:pPr>
        <w:pStyle w:val="TextBody"/>
        <w:rPr/>
      </w:pPr>
      <w:r>
        <w:rPr/>
        <w:t>Major cultivar groups and geographic structure - Two broadly recognized cultivar clusters correspond to morphologically and agronomically distinct forms: the large</w:t>
        <w:noBreakHyphen/>
        <w:t>leaf assamica type (often abbreviated CSA) and the small</w:t>
        <w:noBreakHyphen/>
        <w:t>leaf sinensis type (CSS). Genotyping studies that sample Chinese germplasm consistently recover geographic structure aligning CSA diversity with southwestern provinces (notably Yunnan) and CSS diversity with eastern provinces (Zhejiang, Fujian and nearby) [80]. One high</w:t>
        <w:noBreakHyphen/>
        <w:t>density SNP study reported ~179,970 SNPs surveyed and derived a 45</w:t>
        <w:noBreakHyphen/>
        <w:t>marker core useful for germplasm discrimination and origin inference; that marker set underpins much of the geographic inference in recent Chinese germplasm work [80].</w:t>
      </w:r>
    </w:p>
    <w:p>
      <w:pPr>
        <w:pStyle w:val="TextBody"/>
        <w:rPr/>
      </w:pPr>
      <w:r>
        <w:rPr/>
        <w:t>Interpretive consequences of population structure - Geographic clustering of cultivar groups does not by itself prove where domestication first occurred. Several processes can produce the observed pattern: independent local domestication from regional wild relatives, early domestication in one area followed by regional diversification and introgression, or repeated selection on standing wild variation across a broad native range. Reviews therefore emphasize multiple plausible scenarios and urge integrative approaches (dense sampling, aDNA, metabolomics and close archaeobotanical context) to resolve directionality more precisely [74][79].</w:t>
      </w:r>
    </w:p>
    <w:p>
      <w:pPr>
        <w:pStyle w:val="TextBody"/>
        <w:rPr/>
      </w:pPr>
      <w:r>
        <w:rPr/>
        <w:t>Synthesis estimates for timing - A review synthesis highlighted in the dossier places a plausible timeframe for substantial domestication activity around ~3000 BCE (c. 5,000 BP) as one scenario drawn from aggregated evidence through 2021 [79]. This date is an estimate from literature synthesis rather than a single direct genetic calibration; it should be read as a provisional, model</w:t>
        <w:noBreakHyphen/>
        <w:t>dependent inference that requires denser ancient and modern sampling to test. The genetic evidence by itself does not provide a single, uncontested calendar date and different analytic approaches yield different timing ranges depending on assumptions about mutation rates, generation times and demographic history [79][74].</w:t>
      </w:r>
    </w:p>
    <w:p>
      <w:pPr>
        <w:pStyle w:val="TextBody"/>
        <w:rPr/>
      </w:pPr>
      <w:r>
        <w:rPr/>
        <w:t>Evidence for multiple domestication/introgresion events - Multiple independent lines converge on the multi</w:t>
        <w:noBreakHyphen/>
        <w:t>origin interpretation: (1) patterns of genetic diversity concentrated in several regions (Yunnan and parts of eastern China); (2) strong genetic affinities between some cultivated accessions and nearby wild Camellia populations; and (3) signatures of admixture and local introgression detectable in genome</w:t>
        <w:noBreakHyphen/>
        <w:t>scale marker sets. Collectively, these indicate that cultivated tea arose through repeated local selection events and subsequent gene flow among cultivars and wild relatives rather than a single founder event accessible to current datasets [74][80].</w:t>
      </w:r>
    </w:p>
    <w:p>
      <w:pPr>
        <w:pStyle w:val="TextBody"/>
        <w:rPr/>
      </w:pPr>
      <w:r>
        <w:rPr/>
        <w:t>Role and limits of SNP surveys - Large SNP surveys (e.g., the study reporting ~179,970 SNPs and selecting a 45</w:t>
        <w:noBreakHyphen/>
        <w:t>marker core) are powerful for resolving recent population structure and for cultivar identification, but they also inherit sampling biases: if wild populations or local landraces are under</w:t>
        <w:noBreakHyphen/>
        <w:t>sampled, inferences about origin or directionality become fragile. The dossiers note explicitly that uneven wild sampling remains a principal limitation constraining robust inference about where and when domestication episodes occurred [80].</w:t>
      </w:r>
    </w:p>
    <w:p>
      <w:pPr>
        <w:pStyle w:val="TextBody"/>
        <w:rPr/>
      </w:pPr>
      <w:r>
        <w:rPr/>
        <w:t>Archaeogenomic linkage and the aDNA gap - A critical shortcoming is the near</w:t>
        <w:noBreakHyphen/>
        <w:t>absence of reproducible ancient</w:t>
        <w:noBreakHyphen/>
        <w:t>DNA (aDNA) from securely dated archaeological Camellia remains that could connect genetic patterns in living cultivars to specific archaeological contexts. Reviews and syntheses identify the lack of replicated aDNA confirmation linking Neolithic or later archaeological plant remains to modern Camellia sinensis lineages as one of the largest gaps in the field [74][79]. Without securely dated aDNA, genomic reconstructions must rely on modern diversity and indirect calibration, which increases uncertainty in timing and inferences about domestication directionality.</w:t>
      </w:r>
    </w:p>
    <w:p>
      <w:pPr>
        <w:pStyle w:val="TextBody"/>
        <w:rPr/>
      </w:pPr>
      <w:r>
        <w:rPr/>
        <w:t>Tianluoshan and the need for genetic confirmation - Archaeobotanical claims for Neolithic Camellia at Tianluoshan (Neolithic Hemudu context, commonly summarized as ≈6000 BP) rest on phytolith contexts, preserved rhizome/root morphology and chemical detection of L</w:t>
        <w:noBreakHyphen/>
        <w:t>theanine in archaeological root material [92][90][86]. While these findings are potentially transformative, specialist critiques emphasize that L</w:t>
        <w:noBreakHyphen/>
        <w:t>theanine is not uniquely diagnostic of tea, can be diagenetically altered, and therefore requires independent genetic (aDNA) or multi</w:t>
        <w:noBreakHyphen/>
        <w:t>compound metabolomic corroboration before Tianluoshan can be treated as a confirmed domestication locus [82][95]. The absence of peer</w:t>
        <w:noBreakHyphen/>
        <w:t>reviewed aDNA confirming Tianluoshan material is explicitly recorded in the dossier “Not found” list and is a central reason geneticists and archaeobotanists do not accept a single</w:t>
        <w:noBreakHyphen/>
        <w:t>origin reconstruction based on those claims alone.</w:t>
      </w:r>
    </w:p>
    <w:p>
      <w:pPr>
        <w:pStyle w:val="TextBody"/>
        <w:rPr/>
      </w:pPr>
      <w:r>
        <w:rPr/>
        <w:t>Practical implications for reconstructing domestication - To move from plausible scenarios to robust conclusions, the literature repeatedly recommends a program of work that couples: - Denser modern sampling of wild Camellia populations across candidate regions (Yunnan, Guizhou, Guangxi, and the Yangtze basin) to capture the full scope of standing variation and infer likely wild progenitors [80][74]; - Targeted ancient</w:t>
        <w:noBreakHyphen/>
        <w:t>DNA retrieval and authenticated sequencing from well</w:t>
        <w:noBreakHyphen/>
        <w:t>dated archaeological plant remains (including seeds, leaves, rhizomes) to place genomic lineages in time and test continuity with modern cultivars [74][79]; - Multi</w:t>
        <w:noBreakHyphen/>
        <w:t>proxy biomolecular studies (compound metabolomics, aDNA, and diagnostic microfossil morphology) on contentious early sites (notably Tianluoshan) to assess species identity and exclude alternative biomarker sources [82][90][92]; - Integration with archaeobotanical context and historical/linguistic evidence to discriminate between early use (e.g., medicinal/occasional harvesting) and sustained cultivation/domestication processes. These steps are not merely ideal: dossier syntheses treat them as essential to resolving the core questions left open by current genomic patterns [74][79][80].</w:t>
      </w:r>
    </w:p>
    <w:p>
      <w:pPr>
        <w:pStyle w:val="TextBody"/>
        <w:rPr/>
      </w:pPr>
      <w:r>
        <w:rPr/>
        <w:t>What is settled and what remains provisional - Settled: Cultivated Camellia sinensis exhibits clear geographic genetic structure with major cultivar groups associated with southwestern (Yunnan) and eastern Chinese provinces; several high</w:t>
        <w:noBreakHyphen/>
        <w:t>quality SNP studies and reviews support multiple domestication/introgression events rather than a single origin; and modern syntheses place the origin and early diversification of tea in East/Southeast Asia broadly, with China as the principal locus of early cultivation and diversity [74][80][79]. - Provisional: Exact timing (calendar dates) for initial domestication(s), the number and precise locations of independent domestication events, and direct genetic continuity between any putative Neolithic Camellia finds (e.g., Tianluoshan) and modern cultivars. These remain open because ancient genomic confirmation and denser wild sampling have not yet produced an uncontested, high</w:t>
        <w:noBreakHyphen/>
        <w:t>resolution reconstruction [74][79][80].</w:t>
      </w:r>
    </w:p>
    <w:p>
      <w:pPr>
        <w:pStyle w:val="TextBody"/>
        <w:rPr/>
      </w:pPr>
      <w:r>
        <w:rPr/>
        <w:t>Research gaps prioritized - Primary gap 1 — aDNA confirmation: No reproducible ancient</w:t>
        <w:noBreakHyphen/>
        <w:t>DNA sequences from Neolithic Camellia remains have been published that link archaeological specimens to modern lineages; securing authenticated aDNA from well</w:t>
        <w:noBreakHyphen/>
        <w:t>dated contexts is the top priority identified in reviews [74][79]. - Primary gap 2 — wild sampling: Current genomic surveys have uneven geographic coverage of wild Camellia populations; expanding wild sampling in Yunnan, Guizhou, Guangxi and the Yangtze basin is needed to resolve which wild lineages contributed to cultivars and to model domestication directionality [80][74]. - Secondary gap — biomarker replication: Claims based on single metabolites (e.g., theanine) require independent metabolomic replication and multi</w:t>
        <w:noBreakHyphen/>
        <w:t>compound approaches to exclude alternative sources and diagenetic artifacts, especially for early Neolithic claims [82][90]. - Methodological recommendation: combine high</w:t>
        <w:noBreakHyphen/>
        <w:t>density genomic data, authenticated aDNA, multi</w:t>
        <w:noBreakHyphen/>
        <w:t>compound metabolomics, and careful archaeobotanical context analysis in target regions and sites to produce a coherent, time</w:t>
        <w:noBreakHyphen/>
        <w:t>calibrated domestication narrative [74][79].</w:t>
      </w:r>
    </w:p>
    <w:p>
      <w:pPr>
        <w:pStyle w:val="TextBody"/>
        <w:rPr/>
      </w:pPr>
      <w:r>
        <w:rPr/>
        <w:t>Conclusion Genomic evidence to date supports a geographically complex domestication history for Camellia sinensis, with Yunnan and parts of eastern China emerging as major centers of cultivar diversity and likely independent selection activity. However, genetic structure alone cannot settle when or exactly how many domestication events occurred; the decisive next steps are ancient</w:t>
        <w:noBreakHyphen/>
        <w:t>DNA confirmation from dated remains and fuller sampling of wild relatives. Until those data exist, the best characterization is a multi</w:t>
        <w:noBreakHyphen/>
        <w:t>regional, introgressive origin model with important unresolved details about timing and locus specificity.</w:t>
      </w:r>
    </w:p>
    <w:p>
      <w:pPr>
        <w:pStyle w:val="PartTitle"/>
        <w:rPr/>
      </w:pPr>
      <w:bookmarkStart w:id="25" w:name="X33883d9971898c2cad2deefb8e9c282209748fc"/>
      <w:r>
        <w:rPr/>
        <w:t>Texts, Codification and Early Consumption</w:t>
      </w:r>
      <w:bookmarkEnd w:id="25"/>
    </w:p>
    <w:p>
      <w:pPr>
        <w:pStyle w:val="Heading1"/>
        <w:rPr/>
      </w:pPr>
      <w:bookmarkStart w:id="26" w:name="__RefHeading___Toc1137_3383370932"/>
      <w:bookmarkStart w:id="27" w:name="X05e02c27a87b17614ecff29f7d05f48911b0cd0"/>
      <w:bookmarkEnd w:id="26"/>
      <w:r>
        <w:rPr/>
        <w:t>Chapter 4: Early textual evidence, codification and material culture in China</w:t>
      </w:r>
    </w:p>
    <w:p>
      <w:pPr>
        <w:pStyle w:val="Heading2"/>
        <w:rPr/>
      </w:pPr>
      <w:bookmarkStart w:id="28" w:name="__RefHeading___Toc1139_3383370932"/>
      <w:bookmarkStart w:id="29" w:name="Xfc90b42af324d00505d44dcc65b0ec82c2577f7"/>
      <w:bookmarkEnd w:id="28"/>
      <w:r>
        <w:rPr/>
        <w:t>Chapter 04: Early textual evidence, codification and material culture in China | words=~1400</w:t>
      </w:r>
    </w:p>
    <w:p>
      <w:pPr>
        <w:pStyle w:val="FirstParagraph"/>
        <w:rPr/>
      </w:pPr>
      <w:r>
        <w:rPr/>
        <w:t>Archaeology, legend and text together give a composite picture of tea’s early place in Chinese life: legendary origins attribute discovery to the culture</w:t>
        <w:noBreakHyphen/>
        <w:t>hero Shennong, textual mentions by the late Western Han tie tea to commodity exchange, and archaeological residues and physical plant remains demonstrate brewed tea and prepared tea products in elite contexts by the first millennium BCE and into the Han period. These strands converge most clearly in the medieval moment when Lu Yu’s Cha Jing (The Classic of Tea, ca. 780 AD) systematized cultivation, processing and aesthetics; material culture from Tang and Song contexts shows corresponding specialized implements and product forms that the Classic both described and helped canonize. Below I survey the earliest textual attestations, the relationship of legend to evidence, the archaeological correlates for consumption and preparation, and how codification in the Tang–Song period shaped material practice and later change (notably the later Ming shift toward loose</w:t>
        <w:noBreakHyphen/>
        <w:t>leaf steeping).</w:t>
      </w:r>
    </w:p>
    <w:p>
      <w:pPr>
        <w:pStyle w:val="TextBody"/>
        <w:rPr/>
      </w:pPr>
      <w:r>
        <w:rPr/>
        <w:t>Earliest texts and legendary attributions - Chinese retrospective narratives commonly trace tea’s discovery to the mythical Emperor Shennong, a medicinal</w:t>
        <w:noBreakHyphen/>
        <w:t>culture figure who tests herbs. This legendary attribution appears in later historical compilations and tea literature as an origin story rather than as dated empirical evidence; it frames tea within an established cultural trope of beneficial plants and learned herbal knowledge [9][11][15]. - Independent of legend, documentary traces place tea inside historical commodity networks by the late first century BCE. Institutional and secondary summaries identify a Western Han–era reference (ca. 59 BCE) that mentions tea in a commercial context, indicating that by the late first century BCE tea was recognized not only as a plant or medicine but as a traded good [7]. Textual references therefore antedate some of the securely dated physical remains, which is a familiar pattern in archaeobotany: literacy, commodity terminology and trade can precede preservable plant residues.</w:t>
      </w:r>
    </w:p>
    <w:p>
      <w:pPr>
        <w:pStyle w:val="TextBody"/>
        <w:rPr/>
      </w:pPr>
      <w:r>
        <w:rPr/>
        <w:t>Archaeological correlates for consumption and production - Archaeological science now provides direct physical anchors for brewed</w:t>
        <w:noBreakHyphen/>
        <w:t>tea use in early China. Microfossil and biomolecular residue studies analyzed from tombs and elite burials report detection of tea</w:t>
        <w:noBreakHyphen/>
        <w:t>related markers and brewed residues dating to the first millennium BCE and early Han contexts. A Shandong tomb residue reported as boiled/brewed tea has been published with dates c. 453–410 BCE, providing an earlier archaeological footprint for brewed tea consumption in some regions [44]. - Independent excavations and biomolecular identifications produced securely dated physical tea remains in Han</w:t>
        <w:noBreakHyphen/>
        <w:t>period burial contexts (notably finds linked to imperial/elite tomb contexts), with some samples radiocarbon</w:t>
        <w:noBreakHyphen/>
        <w:t>dated to roughly 2,100 years before present; these identifications used a multi</w:t>
        <w:noBreakHyphen/>
        <w:t>proxy approach combining diagnostic calcium oxalate phytolith morphology, theanine detection and caffeine measurement to increase confidence in species identification as Camellia sinensis [2][41][43][46]. The combination of microfossil morphology and targeted biomarkers is now the favored methodological pathway for identifying tea where macrobotanical preservation is poor. - The archaeological record therefore supplies two complementary lines: residue detection of brewed tea in containers or deposits and physical plant material identified by multi</w:t>
        <w:noBreakHyphen/>
        <w:t>proxy biochemical and microfossil criteria. Together these show consumption practices (brewing) and the movement of prepared products into elite mortuary contexts.</w:t>
      </w:r>
    </w:p>
    <w:p>
      <w:pPr>
        <w:pStyle w:val="TextBody"/>
        <w:rPr/>
      </w:pPr>
      <w:r>
        <w:rPr/>
        <w:t>Elite contexts and social meaning - Several of the early physical finds occur in elite or burial contexts. That pattern aligns with textual signals that associate tea with court and literati consumption in early historical periods and suggests tea was already a valued commodity with ritual or status associations during the Han [7][2]. Elite deposition does not deny wider popular or medicinal use, but it does indicate that by the Han dynasty tea had social meaning that could warrant inclusion in funerary assemblages. - The Tibetan Han</w:t>
        <w:noBreakHyphen/>
        <w:t>period related find (Gurgyam, XZ</w:t>
        <w:noBreakHyphen/>
        <w:t>1) dated to the early centuries CE shows tea or prepared tea present at high altitude (ca. 4,290 m asl), which archaeologists interpret as evidence of long</w:t>
        <w:noBreakHyphen/>
        <w:t>distance exchange or movement of prepared products along early trans</w:t>
        <w:noBreakHyphen/>
        <w:t>Himalayan routes. That find anchors the circulation of tea beyond central China by the early centuries CE and implies specialized exchange networks capable of moving perishable or processed luxury goods [2][8].</w:t>
      </w:r>
    </w:p>
    <w:p>
      <w:pPr>
        <w:pStyle w:val="TextBody"/>
        <w:rPr/>
      </w:pPr>
      <w:r>
        <w:rPr/>
        <w:t>Tang codification: Lu Yu and material practices - The Tang period represents a turning point in the literate codification of tea culture. Lu Yu’s Cha Jing (conventionally dated ca. 780 AD) systematized cultivation advice, processing steps, preparation techniques, and aesthetic criteria that had been developing in preceding centuries; the Classic both recorded an emergent taste culture and reinforced specific practices by articulating them for a literate audience [10][15][11][73]. - Material culture from Tang contexts matches Lu Yu’s descriptions: powdered and compressed cakes/bricks of tea, graters and specialized utensils appear in the archaeological and art</w:t>
        <w:noBreakHyphen/>
        <w:t>historical record, and Tang</w:t>
        <w:noBreakHyphen/>
        <w:t>era preparation practices favored steaming and compressing tea into cakes that were then ground and whisked—a preparation trajectory directly connected to the powdered and whisked forms described in Cha Jing and associated literatures [10][15]. The match between text and objects suggests a maturing industry with standardized product forms and associated tools.</w:t>
      </w:r>
    </w:p>
    <w:p>
      <w:pPr>
        <w:pStyle w:val="TextBody"/>
        <w:rPr/>
      </w:pPr>
      <w:r>
        <w:rPr/>
        <w:t>Song intensification and regional specialization - In the Song dynasty, tea culture intensified into refined connoisseurship and institutional practice. The Song era expanded powdered, whisked preparation, set quality criteria, formalized teawares and supported official tea offices and regulated supplies in some regions; these developments further professionalized the product chain from cultivation to court rituals and market exchange [15][24]. - The Song contributions also fed regional diversification: while powdered and whisked products remained important in certain literati and court contexts (and directly influenced later Japanese matcha practices), parallel traditions for compressed cakes, brick tea, and varied processing gestures continued across producing regions. The multiplicity of forms that became canonical by the Song illustrates how textual codification and material innovation reinforced one another.</w:t>
      </w:r>
    </w:p>
    <w:p>
      <w:pPr>
        <w:pStyle w:val="TextBody"/>
        <w:rPr/>
      </w:pPr>
      <w:r>
        <w:rPr/>
        <w:t>Change after the Ming: loose</w:t>
        <w:noBreakHyphen/>
        <w:t>leaf steeping and consumer shifts - A significant later transformation occurred after the Ming period, when loose</w:t>
        <w:noBreakHyphen/>
        <w:t>leaf steeping became increasingly widespread and preferred for many forms of tea preparation. Historical accounts and later syntheses identify a transition away from the powdered, whisked staple toward brewed loose</w:t>
        <w:noBreakHyphen/>
        <w:t>leaf methods; this shift produced different processing priorities (focus on whole leaves and oxidation control) and changes in teaware and domestic practice [10][15]. - The Ming shift did not erase earlier forms—powdered/traditional compressed teas and ceremonial uses continued in specialized contexts—but it did broaden everyday brewed consumption and shaped the industrial and aesthetic trajectories that lead toward the modern dominance of loose</w:t>
        <w:noBreakHyphen/>
        <w:t>leaf production in many regions.</w:t>
      </w:r>
    </w:p>
    <w:p>
      <w:pPr>
        <w:pStyle w:val="TextBody"/>
        <w:rPr/>
      </w:pPr>
      <w:r>
        <w:rPr/>
        <w:t>Limits, methodological caveats and open questions - Texts provide terminus ante quem evidence for commodity use (words show use and trade) but cannot alone establish what plant parts, preparations or regional varieties were in hand without corroborating material evidence. Archaeological biomolecular methods now allow stronger species assignments, but they depend on reproducible multi</w:t>
        <w:noBreakHyphen/>
        <w:t>proxy detection (phytolith morphology + theanine + caffeine or other compound suites) and secure stratigraphic dating [2]. - Several older archaeobotanical claims (for example, Neolithic rhizome/root finds at Tianluoshan/Hemudu interpreted as Camellia</w:t>
        <w:noBreakHyphen/>
        <w:t>type and reported at ca. 6,000 BP) remain debated. Those claims often rely on single biomarkers (theanine) or contextual inference and currently lack independently replicated ancient</w:t>
        <w:noBreakHyphen/>
        <w:t>DNA (aDNA) confirmation or the same multi</w:t>
        <w:noBreakHyphen/>
        <w:t>proxy biochemical validation used for the Han/Tibet samples; specialist critiques therefore call for aDNA, denser biomolecular replication and fuller methodological transparency before those early claims can be integrated into a secure timeline [82][90][92][95][6]. - In consequence, the most robust, widely accepted archaeological picture places regular brewed tea use in central China by the late first millennium BCE and demonstrates movement onto the Tibetan Plateau by the early centuries CE; the rise of literate codification in Tang–Song centuries then shaped material culture and production such that later historical shifts (Ming looser</w:t>
        <w:noBreakHyphen/>
        <w:t>leaf brewing) are traceable in both texts and objects [2][4][7][10][15].</w:t>
      </w:r>
    </w:p>
    <w:p>
      <w:pPr>
        <w:pStyle w:val="TextBody"/>
        <w:rPr/>
      </w:pPr>
      <w:r>
        <w:rPr/>
        <w:t>Concluding observation - The early textual attestations, legend and archaeology together show a multi</w:t>
        <w:noBreakHyphen/>
        <w:t>strand history: tea moves from medicinal/legendary status into commodity and elite culture by the late first millennium BCE, becomes materially standardized and aestheticized in Tang–Song literate traditions (most vividly in Lu Yu’s Cha Jing), and then undergoes later practical transformation (notably the Ming shift to loose</w:t>
        <w:noBreakHyphen/>
        <w:t>leaf brewing). Where texts speak to social meaning and trade, archaeobotany supplies physical anchors; where they conflict or diverge (for example, very early Neolithic claims), the field correctly treats those gaps as open research questions needing replication and genetic confirmation.</w:t>
      </w:r>
    </w:p>
    <w:p>
      <w:pPr>
        <w:pStyle w:val="PartTitle"/>
        <w:rPr/>
      </w:pPr>
      <w:bookmarkStart w:id="30" w:name="X05e02c27a87b17614ecff29f7d05f48911b0cd0"/>
      <w:bookmarkStart w:id="31" w:name="Xfc90b42af324d00505d44dcc65b0ec82c2577f7"/>
      <w:r>
        <w:rPr/>
        <w:t>Regional Transmission in Asia</w:t>
      </w:r>
      <w:bookmarkEnd w:id="30"/>
      <w:bookmarkEnd w:id="31"/>
    </w:p>
    <w:p>
      <w:pPr>
        <w:pStyle w:val="Heading1"/>
        <w:rPr/>
      </w:pPr>
      <w:bookmarkStart w:id="32" w:name="__RefHeading___Toc1141_3383370932"/>
      <w:bookmarkStart w:id="33" w:name="X58f26ee1b7f060094246631d636addb0511ab70"/>
      <w:bookmarkEnd w:id="32"/>
      <w:r>
        <w:rPr/>
        <w:t>Chapter 5: Overland and sea routes; transmission to Tibet, Korea and Japan</w:t>
      </w:r>
    </w:p>
    <w:p>
      <w:pPr>
        <w:pStyle w:val="FirstParagraph"/>
        <w:rPr/>
      </w:pPr>
      <w:r>
        <w:rPr/>
        <w:t>This chapter reconstructs the principal vectors and agents by which tea (Camellia sinensis and processed tea products) moved beyond its Chinese heartlands: overland caravan networks (the Tea Road), maritime trade, Buddhist monastic channels, and diplomatic gift-exchange. It assesses archaeological and documentary evidence for early long</w:t>
        <w:noBreakHyphen/>
        <w:t>distance exchange (notably the high</w:t>
        <w:noBreakHyphen/>
        <w:t>altitude Tibetan finds), and traces regionally distinct adoption trajectories in Tibet, Korea and Japan. Where evidence is interpretive rather than decisive, the text notes the source and confidence level.</w:t>
      </w:r>
    </w:p>
    <w:p>
      <w:pPr>
        <w:pStyle w:val="TextBody"/>
        <w:rPr/>
      </w:pPr>
      <w:r>
        <w:rPr/>
        <w:t>Overland exchange and the Tea Road: forms and chronology Large</w:t>
        <w:noBreakHyphen/>
        <w:t>scale overland exchange of tea materialized in multiple forms over many centuries. Caravan routes that historians group under the “Tea Road” connected producing regions in southern and central China with frontier markets to the northwest and north — most famously to Mongolia, Siberia and European Russia. These routes consolidated into more regular state</w:t>
        <w:noBreakHyphen/>
        <w:t xml:space="preserve"> and merchant</w:t>
        <w:noBreakHyphen/>
        <w:t>backed networks by the mid</w:t>
        <w:noBreakHyphen/>
        <w:t>17th century (1600s–1680s), when caravan logistics, fortified waystations and institutional arrangements made the Tea Road a dependable conduit for bulk tea shipments into inland Eurasian markets [33][34][39]. The “Tea Road” label thus covers a long arc of development: early, irregular flows of tea and tea products along internal Chinese market routes; medieval exchanges tied to political patronage and monastic movements; and finally early modern formalization into caravan economies servicing external demand.</w:t>
      </w:r>
    </w:p>
    <w:p>
      <w:pPr>
        <w:pStyle w:val="TextBody"/>
        <w:rPr/>
      </w:pPr>
      <w:r>
        <w:rPr/>
        <w:t>Two features characterize the overland trade. First, the commodity form: much tea moved as compressed cakes or bricks that were durable for long transit and convenient for packing on pack animals — a production and processing choice that made tea suitable for long caravan journeys and for consumption in distant cold climates where boiling a rehydrated brick was practical [10][15]. Second, the clientele and interchange: caravan traffic did not only transmit leaves; it transmitted consumption habits and material culture (kettles, samovars, tea</w:t>
        <w:noBreakHyphen/>
        <w:t>service forms) and often accompanied other goods—fur, salt, grain—making tea part of broader commodity systems linking China with Inner Asia and Russia [33][34][35][38][39][40].</w:t>
      </w:r>
    </w:p>
    <w:p>
      <w:pPr>
        <w:pStyle w:val="TextBody"/>
        <w:rPr/>
      </w:pPr>
      <w:r>
        <w:rPr/>
        <w:t>Maritime routes and lexical signals Maritime trade carried tea to Southeast Asian entrepôts and into European markets from the 16th century onward. Portuguese and Dutch seafarers were the first regular European vectors into East Asian maritime trade; the Dutch recorded shipments as early as 1607, and by the early 1600s maritime routes were an established channel for tea to reach Europe via Asian entrepôts [48]. Maritime provisioning favored particular port dialects and supply chains; this historical geography left a lexical trace in European languages: the chá/cha reflex (Portuguese and southern Chinese pronunciations) versus the te/tea reflex (Dutch from Fujian Min). Those two forms in European tongues encode provenance — the sea lanes and provincial origins of the tea cargoes — and thereby function as linguistic evidence for route differentiation in the early modern period [48][49][53].</w:t>
      </w:r>
    </w:p>
    <w:p>
      <w:pPr>
        <w:pStyle w:val="TextBody"/>
        <w:rPr/>
      </w:pPr>
      <w:r>
        <w:rPr/>
        <w:t>Maritime trade also shaped consumption patterns in Europe. Tea became fashionable in elite circles in the 17th century (notably after Catherine of Braganza’s arrival in England, 1662), and European demand grew in the 18th century to the point where Britain ran chronic silver deficits with China — a macroeconomic effect that fed later imperial policy decisions [48][29][25].</w:t>
      </w:r>
    </w:p>
    <w:p>
      <w:pPr>
        <w:pStyle w:val="TextBody"/>
        <w:rPr/>
      </w:pPr>
      <w:r>
        <w:rPr/>
        <w:t>Buddhist monastic networks and diplomatic exchange: vectors to Korea and Japan The cultural vectors for tea’s transmission into Korea and Japan were chiefly Buddhist monastic networks, diplomatic gift-exchange, and imperial or aristocratic adoption. Documentary and institutional records point to high</w:t>
        <w:noBreakHyphen/>
        <w:t>confidence instances: a diplomatic gift of tea to the Japanese court is recorded in 729 AD (Nara period), and returning Japanese monks active in the 8th–9th centuries brought seeds, cultivation know</w:t>
        <w:noBreakHyphen/>
        <w:t>how and processing techniques from Tang China — establishing both the horticultural basis and ritual contexts for tea in early Japan [17][24]. Those monks played a dual role: practical carriers of plant material and techniques, and cultural carriers who integrated tea into monastic life for medicinal, stimulant, and ritual purposes.</w:t>
      </w:r>
    </w:p>
    <w:p>
      <w:pPr>
        <w:pStyle w:val="TextBody"/>
        <w:rPr/>
      </w:pPr>
      <w:r>
        <w:rPr/>
        <w:t>In Korea, similar channels operated. Monastic contacts and envoys transmitted Song</w:t>
        <w:noBreakHyphen/>
        <w:t>period tastes and methods; through ongoing exchanges, Korean elites and Buddhist institutions absorbed Chinese tea practices and adapted them to local ceremonial repertoires. Both recipient polities (Korea and Japan) show how monastic and diplomatic vectors favored not just the raw plant but the social practices that made tea meaningful — preparation methods, utensils, and social rituals — leading to distinctive local trajectories of cultivation and ceremony [17][24][20].</w:t>
      </w:r>
    </w:p>
    <w:p>
      <w:pPr>
        <w:pStyle w:val="TextBody"/>
        <w:rPr/>
      </w:pPr>
      <w:r>
        <w:rPr/>
        <w:t>Tibet: high</w:t>
        <w:noBreakHyphen/>
        <w:t>altitude find and implications for early long</w:t>
        <w:noBreakHyphen/>
        <w:t>distance exchange Archaeological finds on the Tibetan Plateau provide one of the clearest material signals that tea (or prepared tea products) moved across long, difficult routes well before the full formalization of the Tea Road in the early modern period. A physical tea sample recovered from a high</w:t>
        <w:noBreakHyphen/>
        <w:t>altitude burial site (Gurgyam, 4,290 m asl) implies either the movement of tea leaves or the transport of prepared tea along early trans</w:t>
        <w:noBreakHyphen/>
        <w:t>Himalayan exchange routes — effectively an early Silk Road branch reaching deep into the plateau [2][8]. The presence of tea at such an elevation is interpretively rich: it suggests demand in Tibetan highland contexts (for dietary, medicinal, or ritual reasons), the existence of durable commodity forms suitable for high</w:t>
        <w:noBreakHyphen/>
        <w:t>altitude transport (compressed cakes/bricks or prepared tea), and networks of exchange that could overcome terrain and climate barriers.</w:t>
      </w:r>
    </w:p>
    <w:p>
      <w:pPr>
        <w:pStyle w:val="TextBody"/>
        <w:rPr/>
      </w:pPr>
      <w:r>
        <w:rPr/>
        <w:t>Two caveats are necessary. First, the archaeological interpretation is conditional on identification methods: recent methodological advances combine microfossil morphology (phytoliths), plus biomolecular markers (theanine and caffeine), to make secure identifications of archaeological tea in poorly preserved contexts — a multi</w:t>
        <w:noBreakHyphen/>
        <w:t>proxy approach that strengthens claims when all components cohere [2]. Second, such finds do not, by themselves, reconstruct the full route(s) or the precise socio</w:t>
        <w:noBreakHyphen/>
        <w:t>economic mechanisms (e.g., whether state merchants, itinerant traders, or monastic networks carried the commodities). They do, however, provide concrete anchors showing that exchange reached ecological margins and that tea had become a trans</w:t>
        <w:noBreakHyphen/>
        <w:t>regional commodity by at least the early centuries CE in some corridors.</w:t>
      </w:r>
    </w:p>
    <w:p>
      <w:pPr>
        <w:pStyle w:val="TextBody"/>
        <w:rPr/>
      </w:pPr>
      <w:r>
        <w:rPr/>
        <w:t>Regional adoption trajectories and local transformation Across the East Asian region, adoption trajectories reflect how tea practices were localized once they arrived. In Japan, seeds and methods introduced in the 8th–9th centuries eventually fed into aristocratic and monastic forms that, by the Song</w:t>
        <w:noBreakHyphen/>
        <w:t>influenced medieval centuries, developed into specialized aesthetics and ritualized preparations — culminating in Japan’s later chanoyu and matcha traditions whose powdered</w:t>
        <w:noBreakHyphen/>
        <w:t>and</w:t>
        <w:noBreakHyphen/>
        <w:t>whisked preparation traces back to Song</w:t>
        <w:noBreakHyphen/>
        <w:t>period Chinese practices [15][24][17]. In Korea, continued contact channeled Song cultural forms and produced Korean variants of tea ritual and cultivation adapted to local agrarian systems.</w:t>
      </w:r>
    </w:p>
    <w:p>
      <w:pPr>
        <w:pStyle w:val="TextBody"/>
        <w:rPr/>
      </w:pPr>
      <w:r>
        <w:rPr/>
        <w:t>Tibetan consumption adapted to high</w:t>
        <w:noBreakHyphen/>
        <w:t>altitude conditions and tastes; pressed tea bricks became staples for portability and caloric supplement, and were sometimes combined with yak butter and salt in forms distinct from mainland Chinese infusions. Thus, the movement of tea created not simple replication but diverse local systems in which production, processing and consumption co</w:t>
        <w:noBreakHyphen/>
        <w:t>evolved with environmental and cultural constraints [33][73].</w:t>
      </w:r>
    </w:p>
    <w:p>
      <w:pPr>
        <w:pStyle w:val="TextBody"/>
        <w:rPr/>
      </w:pPr>
      <w:r>
        <w:rPr/>
        <w:t>Agents and motivations: commerce, ritual, and state policy Different agents propelled the spread at different times. Monks and envoys were early cultural vectors; traders and caravan merchants scaled volume and geographic reach; state and fiscal policies (taxation, official tea offices) consolidated production and supply internally; and European maritime companies transformed global demand and supply dynamics from the 16th century onward. Motives ranged from ritual and medicinal demand in monastic contexts to status consumption in courts, to profit</w:t>
        <w:noBreakHyphen/>
        <w:t>driven commercial exchange and imperial strategic calculation (e.g., Britain’s later attempts to secure alternate supplies when Chinese supply dominated global markets). These layered motives explain the multiple, overlapping routes and the variable tempos of adoption across regions [11][14][25][64].</w:t>
      </w:r>
    </w:p>
    <w:p>
      <w:pPr>
        <w:pStyle w:val="TextBody"/>
        <w:rPr/>
      </w:pPr>
      <w:r>
        <w:rPr/>
        <w:t>Synthesis, limits, and points of uncertainty Synthesis: The combined evidence supports a two</w:t>
        <w:noBreakHyphen/>
        <w:t>track model of tea’s outward spread. First, cultural and monastic diffusion moved tea knowledge, seeds and ritual forms into Korea and Japan during the early medieval centuries; second, commercial networks — overland caravan systems and maritime shipping — scaled the movement of bulk tea to distant markets and, by the early modern period, created enduring supply lines that fed Eurasian and European consumption. Archaeological anchors (Han</w:t>
        <w:noBreakHyphen/>
        <w:t>period finds, high</w:t>
        <w:noBreakHyphen/>
        <w:t>altitude Tibetan samples) demonstrate that long</w:t>
        <w:noBreakHyphen/>
        <w:t>distance exchange of tea—both as processed product and botanical material—was established well before the Tea Road’s formal mid</w:t>
        <w:noBreakHyphen/>
        <w:t>17th</w:t>
        <w:noBreakHyphen/>
        <w:t>century institutionalization [2][8][33][34][39][17][24].</w:t>
      </w:r>
    </w:p>
    <w:p>
      <w:pPr>
        <w:pStyle w:val="TextBody"/>
        <w:rPr/>
      </w:pPr>
      <w:r>
        <w:rPr/>
        <w:t>Limits and uncertainty: Gaps remain in reconstructing precise merchant routes, the frequency and organization of early long</w:t>
        <w:noBreakHyphen/>
        <w:t>distance shipments, and the detailed social mechanisms by which particular communities adopted and adapted tea. High</w:t>
        <w:noBreakHyphen/>
        <w:t>altitude and Han</w:t>
        <w:noBreakHyphen/>
        <w:t>period finds are persuasive but not comprehensive: identification depends on multi</w:t>
        <w:noBreakHyphen/>
        <w:t>proxy methods (phytoliths, theanine, caffeine), and archaeological sampling is still sparse in many corridor regions. Likewise, documentary traces (e.g., diplomatic gifts, monastic biographies) furnish clear nodes of transmission but rarely a continuous chain of logistical detail about the routes themselves.</w:t>
      </w:r>
    </w:p>
    <w:p>
      <w:pPr>
        <w:pStyle w:val="PartTitle"/>
        <w:rPr/>
      </w:pPr>
      <w:bookmarkStart w:id="34" w:name="X58f26ee1b7f060094246631d636addb0511ab70"/>
      <w:r>
        <w:rPr/>
        <w:t>Global Trade, Conflict and Imperial Transformation</w:t>
      </w:r>
      <w:bookmarkEnd w:id="34"/>
    </w:p>
    <w:p>
      <w:pPr>
        <w:pStyle w:val="Heading1"/>
        <w:rPr/>
      </w:pPr>
      <w:bookmarkStart w:id="35" w:name="__RefHeading___Toc1143_3383370932"/>
      <w:bookmarkStart w:id="36" w:name="Xcdca02d4fcef0a5bb66fba50de6c90fb69283bb"/>
      <w:bookmarkEnd w:id="35"/>
      <w:r>
        <w:rPr/>
        <w:t>Chapter 6: European contact, commerce, and the tea–opium–imperial nexus</w:t>
      </w:r>
    </w:p>
    <w:p>
      <w:pPr>
        <w:pStyle w:val="FirstParagraph"/>
        <w:rPr/>
      </w:pPr>
      <w:r>
        <w:rPr/>
        <w:t>From the first sustained European contacts with East Asia in the 16th century, tea moved rapidly from a regional commodity to a decisive element in global commerce. Mariners and merchants — first Portuguese, then Dutch, later British — carried Chinese teas into European markets, where a widening popular appetite transformed supply chains, balance</w:t>
        <w:noBreakHyphen/>
        <w:t>of</w:t>
        <w:noBreakHyphen/>
        <w:t>payments relations, and imperial strategy. By the late eighteenth and early nineteenth centuries the combination of huge British demand for Chinese tea, the East India Company’s trading dominance, and the asymmetric flows of precious metals created a commercial pressure that British traders sought to relieve through countertrade in opium grown in British India. That commercial solution, pursued in the face of determined Chinese prohibition, became a proximate cause of military confrontation in the mid</w:t>
        <w:noBreakHyphen/>
        <w:t>nineteenth century and contributed to a long reconfiguration of tea production geography and global politics. The section below traces the arrival of Europeans in the China tea trade; the economic mechanics and figures behind the silver outflow; the EIC’s role and revenue data; the turn to opium as a countertrade and its expansion; Chinese enforcement and the British naval response; and the subsequent plantation and production shifts that remapped the global tea economy.</w:t>
      </w:r>
    </w:p>
    <w:p>
      <w:pPr>
        <w:pStyle w:val="TextBody"/>
        <w:rPr/>
      </w:pPr>
      <w:r>
        <w:rPr/>
        <w:t>European entry and the rise of demand European familiarity with tea began in the sixteenth century as Portuguese seafarers and merchants first encountered East Asian trade circuits, followed by Dutch merchants in the early seventeenth century and then the British. These traders brought tea into European markets in increasingly regular consignments through the 1600s, establishing a new luxury commodity in Western consumption patterns and seeding broader demand that intensified in the eighteenth century [12][27][29][48]. By the later eighteenth century tea had shifted from elite novelty to a mass</w:t>
        <w:noBreakHyphen/>
        <w:t>consumed staple in Britain; household and social customs — the rise of tea drinking at court and among the middle classes — helped make tea an enduring national taste and a high</w:t>
        <w:noBreakHyphen/>
        <w:t>value import good for Britain [48][29].</w:t>
      </w:r>
    </w:p>
    <w:p>
      <w:pPr>
        <w:pStyle w:val="TextBody"/>
        <w:rPr/>
      </w:pPr>
      <w:r>
        <w:rPr/>
        <w:t>Trade imbalance and silver outflows China’s exports to Europe were heavy in tea and other desirable goods (porcelain, silk), while Chinese markets accepted relatively few European manufactures or bullion</w:t>
        <w:noBreakHyphen/>
        <w:t>equivalent imports. The result was a chronic bullion imbalance: European, and especially British, demand for Chinese tea produced a persistent silver outflow to China across the eighteenth and into the nineteenth centuries [12][25][29]. Contemporary accounting and later economic histories quantify the magnitude of these flows as substantial and structurally important for British policy and merchant strategy; historians point to the silver drain as a structural pressure that motivated search for profitable counter</w:t>
        <w:noBreakHyphen/>
        <w:t>commodities and new supply channels for tea [25][31].</w:t>
      </w:r>
    </w:p>
    <w:p>
      <w:pPr>
        <w:pStyle w:val="TextBody"/>
        <w:rPr/>
      </w:pPr>
      <w:r>
        <w:rPr/>
        <w:t>The East India Company and trade volumes The British East India Company (EIC) came to dominate Britain’s trade with China and thus Britain’s cross</w:t>
        <w:noBreakHyphen/>
        <w:t>border tea supply. EIC records and subsequent reconstructions show that tea constituted a major portion of EIC value flows in the later eighteenth century. An EIC-era average annual export value from China for 1765–1774 places total exports at 1,508,107 taels, of which tea alone accounted for 1,071,570 taels on average — a striking demonstration of tea’s fiscal weight in Sino</w:t>
        <w:noBreakHyphen/>
        <w:t>British trade at that time [25]. The EIC’s commercial dominance gave it both motive and capacity to seek structural responses to the unfavorable bullion balance, while Britain’s wider political economy provided support for initiatives that would secure trade advantages or alternative supply sources.</w:t>
      </w:r>
    </w:p>
    <w:p>
      <w:pPr>
        <w:pStyle w:val="TextBody"/>
        <w:rPr/>
      </w:pPr>
      <w:r>
        <w:rPr/>
        <w:t>Opium as countertrade and the expansion of illicit traffic One commercially pragmatic response to the silver outflow was to find a commodity Chinese markets would buy and pay for in silver — opium cultivated in British India filled that role. British traders, backed by commercial entrepreneurs within the EIC sphere and private merchants, expanded opium exports to China in the late eighteenth and early nineteenth centuries. This expansion was not simply a byproduct of smuggling; it became an integrated element of Sino</w:t>
        <w:noBreakHyphen/>
        <w:t>British commercial networks that partially offset silver flows and sustained the British appetite for tea imports [25][27][31]. Historians treating the period emphasize the interdependence of tea demand, silver imbalances, and opium trafficking: tea consumption created the macroeconomic condition that incentivized opium countertrade, and opium sales in turn financed continued tea purchases and broader mercantile circulation [25][27][31].</w:t>
      </w:r>
    </w:p>
    <w:p>
      <w:pPr>
        <w:pStyle w:val="TextBody"/>
        <w:rPr/>
      </w:pPr>
      <w:r>
        <w:rPr/>
        <w:t>Chinese enforcement and military confrontation Chinese authorities increasingly viewed the opium trade as socially destructive and illegal. Enforcement actions intensified as the Qing state moved to suppress opium imports and distribution. In a key escalation, Chinese officials seized and destroyed opium stocks — an action that provoked a forceful British response culminating in naval and military operations. The immediate military episode is commonly dated as the First Opium War, c. 1839–1842; the destruction of opium and subsequent British coercion led to a war whose diplomatic and economic outcomes reshaped Sino</w:t>
        <w:noBreakHyphen/>
        <w:t>foreign relations [26][25][31]. In historiographical terms, the Opium Wars are often analysed as the conjuncture where commercial motives (including tea</w:t>
        <w:noBreakHyphen/>
        <w:t>driven bullion dynamics), imperial politics, and coercive diplomacy converged.</w:t>
      </w:r>
    </w:p>
    <w:p>
      <w:pPr>
        <w:pStyle w:val="TextBody"/>
        <w:rPr/>
      </w:pPr>
      <w:r>
        <w:rPr/>
        <w:t>Economic and political legacies: plantations and new supply geographies The imperial response to strategic dependence on Chinese tea had another major dimension: Britain’s attempt to displace China as the primary supplier by developing plantations within the empire. Botanical missions, plant transfer expeditions, and experimental cultivation in British India and Ceylon (Sri Lanka) during the eighteenth and nineteenth centuries laid the groundwork for large</w:t>
        <w:noBreakHyphen/>
        <w:t>scale plantation agriculture. By the mid</w:t>
        <w:noBreakHyphen/>
        <w:t xml:space="preserve"> and late nineteenth century plantation</w:t>
        <w:noBreakHyphen/>
        <w:t>produced teas from India and Ceylon substantially increased world supply, producing cheaper bulk tea and undermining China’s export monopoly on global markets [28][30]. This shift reconfigured labour regimes, production geographies, and market competition: mechanized and plantation systems scaled tea production in ways that Chinese smallholder and artisanal production did not match in export orientation, changing world prices and market shares by the late nineteenth century [27][30][65].</w:t>
      </w:r>
    </w:p>
    <w:p>
      <w:pPr>
        <w:pStyle w:val="TextBody"/>
        <w:rPr/>
      </w:pPr>
      <w:r>
        <w:rPr/>
        <w:t>Broader political and cultural consequences Tea’s trajectory from a Chinese cultural product to a global commodity left a suite of political and cultural legacies. In imperial China, tea functioned as a tax base and was woven into state fiscal strategies; in the Atlantic world, tea taxation and monopoly reached symbolic crisis in episodes like the Boston Tea Party (1773), which mobilized colonial resistance to British revenue policies [14][29]. More broadly, tea’s globalization contributed to nineteenth</w:t>
        <w:noBreakHyphen/>
        <w:t>century commodity networks that altered labour relations, land use, and rural social structures in producing regions while also fuelling state and corporate projects of extraction and control [14][31][56]. Cultural continuities coexisted with these economic transformations: regionally distinct tea rituals and material cultures persisted and adapted even as supply chains, prices, and politics changed.</w:t>
      </w:r>
    </w:p>
    <w:p>
      <w:pPr>
        <w:pStyle w:val="TextBody"/>
        <w:rPr/>
      </w:pPr>
      <w:r>
        <w:rPr/>
        <w:t>Historiographical note: linkage, causation and complexity Scholars generally link tea demand, silver flows, opium trafficking and the Opium Wars as interdependent phenomena rather than as a simple linear causal chain. Tea consumption and import dependency created macroeconomic imbalances; those imbalances provided incentives for a countertrade in opium; opium trafficking expanded under colonial commercial networks; and Chinese suppression of opium provoked imperial force that secured new trade privileges and territorial concessions. Yet historians stress complexity: political decisions, domestic Chinese conditions, European diplomatic culture, the organizational dynamics of the EIC, and contingent events all mediated outcomes. Thus the tea–opium–imperial nexus is best understood as a dense interaction of economic motives, commercial practices, and geopolitical power, not as a single monocausal story [25][27][31].</w:t>
      </w:r>
    </w:p>
    <w:p>
      <w:pPr>
        <w:pStyle w:val="TextBody"/>
        <w:rPr/>
      </w:pPr>
      <w:r>
        <w:rPr/>
        <w:t>Quantities and turning points (selected figures) - EIC-era average annual export value from China (1765–1774): total exports 1,508,107 taels; of that, tea averaged 1,071,570 taels — underlining tea’s dominant value share in the China trade for Britain in that decade [25].</w:t>
        <w:br/>
        <w:t>- First Opium War commonly dated: 1839–1842 — the immediate military outcome of market conflict and state enforcement over opium that was deeply entangled with the prior commercial history of tea imports and bullion flows [26].</w:t>
      </w:r>
    </w:p>
    <w:p>
      <w:pPr>
        <w:pStyle w:val="TextBody"/>
        <w:rPr/>
      </w:pPr>
      <w:r>
        <w:rPr/>
        <w:t>Conclusion: tea as commodity and cause Tea’s passage from Chinese cultural practice to a central actor in global commerce shows how a consumable good can reconfigure international politics. European demand — especially British — for Chinese tea generated a persistent bullion imbalance that merchants sought to correct through the opium countertrade. That countertrade, illegal from the Qing perspective, produced social and political crisis in China; Chinese enforcement actions triggered military interventions that redefined imperial relations and opened the way for colonial plantation alternatives. The combined economic and political aftereffects of these developments remapped where and how tea was produced and who profited from it, leaving legacies in global trade, colonial agriculture, and modern national economies.</w:t>
      </w:r>
    </w:p>
    <w:p>
      <w:pPr>
        <w:pStyle w:val="PartTitle"/>
        <w:rPr/>
      </w:pPr>
      <w:bookmarkStart w:id="37" w:name="Xcdca02d4fcef0a5bb66fba50de6c90fb69283bb"/>
      <w:r>
        <w:rPr/>
        <w:t>Plant Transfers, Plantations and Mechanization</w:t>
      </w:r>
      <w:bookmarkEnd w:id="37"/>
    </w:p>
    <w:p>
      <w:pPr>
        <w:pStyle w:val="Heading1"/>
        <w:rPr/>
      </w:pPr>
      <w:bookmarkStart w:id="38" w:name="__RefHeading___Toc1145_3383370932"/>
      <w:bookmarkStart w:id="39" w:name="Xbb27cd576431a7d40c25d366968cf4ca6f11b35"/>
      <w:bookmarkEnd w:id="38"/>
      <w:r>
        <w:rPr/>
        <w:t>Chapter 7: Transplanting tea: plant collectors, plantations and industrial processing</w:t>
      </w:r>
    </w:p>
    <w:p>
      <w:pPr>
        <w:pStyle w:val="FirstParagraph"/>
        <w:rPr/>
      </w:pPr>
      <w:r>
        <w:rPr/>
        <w:t>The nineteenth century marks a decisive reconfiguration of the global tea economy. Faced with strategic dependency on Chinese supplies and a persistent trade imbalance, European commercial and colonial actors—most notably the British—mounted botanical campaigns to relocate tea cultivation to colonial territories, established plantation regimes in India, Ceylon (Sri Lanka) and elsewhere, and mechanized leaf processing. These developments together shifted large-scale export supply away from China and created the industrial plantation systems that dominate modern tea markets. The following account traces the botanical transfers (including prominent plant collectors), the establishment of plantations, the emergence of mechanized processing, and the economic impact of these changes. Evidence and dates below are drawn from modern syntheses and historical studies of colonial tea expansion and industrialization [64][65][27][28][30][61][67].</w:t>
      </w:r>
    </w:p>
    <w:p>
      <w:pPr>
        <w:pStyle w:val="TextBody"/>
        <w:rPr/>
      </w:pPr>
      <w:r>
        <w:rPr/>
        <w:t>Botanical transfer efforts and plant collectors European actors moved from importing processed Chinese teas to attempting to cultivate Camellia sinensis in colonial gardens and commercial estates. Early nineteenth</w:t>
        <w:noBreakHyphen/>
        <w:t>century botanical interest in tea intensified after Britain’s strategic concerns about dependence on Chinese exports became acute in the late eighteenth and early nineteenth centuries; botanical efforts accelerated in the mid</w:t>
        <w:noBreakHyphen/>
        <w:t>nineteenth century when the British sought workable alternatives in their Asian colonies [64][65].</w:t>
      </w:r>
    </w:p>
    <w:p>
      <w:pPr>
        <w:pStyle w:val="TextBody"/>
        <w:rPr/>
      </w:pPr>
      <w:r>
        <w:rPr/>
        <w:t>Robert Fortune is the best</w:t>
        <w:noBreakHyphen/>
        <w:t>known figure associated with these transfers. Active in the 1840s–1860s, Fortune and other plant collectors arranged the clandestine collection and export of plant material, seeds, and knowledge—often circumventing Chinese restrictions on plant removal—and relayed cultivation and processing techniques to colonial horticulturalists and planters. Contemporary and later accounts credit Fortune and similar agents with transferring varieties and technical know</w:t>
        <w:noBreakHyphen/>
        <w:t>how that assisted the establishment of plantations in British India and Ceylon, though later scholarship emphasizes the wider set of actors (botanical gardens, local growers, colonial nurseries) and logistical networks involved in successful acclimatization and scale</w:t>
        <w:noBreakHyphen/>
        <w:t>up [64][65].</w:t>
      </w:r>
    </w:p>
    <w:p>
      <w:pPr>
        <w:pStyle w:val="TextBody"/>
        <w:rPr/>
      </w:pPr>
      <w:r>
        <w:rPr/>
        <w:t>Geographic outcomes: Java, India, Ceylon and beyond Initial transplantation attempts yielded mixed results but produced durable successes. Chinese tea plants and techniques were first trialed successfully outside China in places such as Java; subsequent programmes in British India and Ceylon produced large</w:t>
        <w:noBreakHyphen/>
        <w:t>scale plantations. Colonial administrators and commercial actors combined botanical expertise (from botanical gardens and plant collectors), experimental nurseries, and the mobilization of labour to expand tea cultivation across suitable hilllands of South and Southeast Asia [64][65].</w:t>
      </w:r>
    </w:p>
    <w:p>
      <w:pPr>
        <w:pStyle w:val="TextBody"/>
        <w:rPr/>
      </w:pPr>
      <w:r>
        <w:rPr/>
        <w:t>By the late nineteenth century these colonial plantations were producing substantial exportable crops. Plantation</w:t>
        <w:noBreakHyphen/>
        <w:t>scale production in India and Ceylon eventually generated large, cheaper supplies that eroded the relative price and market share of Chinese exports. Secondary syntheses note that the plantation system, allied with imperial capital and labour regimes, became a defining transformation of global tea production in the nineteenth century [27][28][30].</w:t>
      </w:r>
    </w:p>
    <w:p>
      <w:pPr>
        <w:pStyle w:val="TextBody"/>
        <w:rPr/>
      </w:pPr>
      <w:r>
        <w:rPr/>
        <w:t>Plantation organization, labour and capital Plantation agriculture required new organization of land, labour and processing infrastructure. Colonial planters converted hillland into monocultural estates, created transport links to ports, and instituted regimented labour systems—often involving imported or coerced labour—necessary to staff planting, plucking and estate processing. These labour regimes and land</w:t>
        <w:noBreakHyphen/>
        <w:t>use changes underpinned the economies of many producing regions and generated distinct social and environmental legacies that scholarship identifies with nineteenth</w:t>
        <w:noBreakHyphen/>
        <w:t>century plantation expansion [27][28][30].</w:t>
      </w:r>
    </w:p>
    <w:p>
      <w:pPr>
        <w:pStyle w:val="TextBody"/>
        <w:rPr/>
      </w:pPr>
      <w:r>
        <w:rPr/>
        <w:t>The role of the East India Company (EIC) and state policy Commercial institutions and state policy shaped the expansion. The East India Company’s commercial priorities, along with colonial administrations, provided financial backing, institutional knowledge and market channels that accelerated plantation adoption. The political-economic context—rooted in earlier trade imbalances with China and the commercial logic that linked tea demand to silver outflows and then to opium countertrade—helped create the strategic imperative for colonial tea agriculture in British territories [25][27][31].</w:t>
      </w:r>
    </w:p>
    <w:p>
      <w:pPr>
        <w:pStyle w:val="TextBody"/>
        <w:rPr/>
      </w:pPr>
      <w:r>
        <w:rPr/>
        <w:t>Mechanization and factory processing Parallel to geographic relocation, technological change transformed tea processing. Mechanization of leaf</w:t>
        <w:noBreakHyphen/>
        <w:t>working and factory systems emerged in the mid</w:t>
        <w:noBreakHyphen/>
        <w:t xml:space="preserve"> to late</w:t>
        <w:noBreakHyphen/>
        <w:t>nineteenth century. Industrial innovations—examples include bruising, rolling, and early mechanized withering systems documented from the 1860s onward—converted labour</w:t>
        <w:noBreakHyphen/>
        <w:t>intensive artisanal processing into factory workflows that could handle plantation volumes [65][67].</w:t>
      </w:r>
    </w:p>
    <w:p>
      <w:pPr>
        <w:pStyle w:val="TextBody"/>
        <w:rPr/>
      </w:pPr>
      <w:r>
        <w:rPr/>
        <w:t>Mechanized processing had several effects. First, it sharply increased throughput and reduced the per</w:t>
        <w:noBreakHyphen/>
        <w:t>unit labour costs of converting fresh leaf into marketable manufactured teas. Second, by standardizing aspects of processing (e.g., machine rolling vs. hand</w:t>
        <w:noBreakHyphen/>
        <w:t>rolling), it enabled production at scales required by export markets and supported blending and grading operations. Third, factory processing allowed planters to respond more flexibly to export market demands for particular manufactured forms (e.g., broken black teas suited to mechanical preparation and rapid shipping). The industrialization of processing thus reinforced the economic advantages of plantation production and amplified the displacement of some Chinese export niches by colonial producers [65][67].</w:t>
      </w:r>
    </w:p>
    <w:p>
      <w:pPr>
        <w:pStyle w:val="TextBody"/>
        <w:rPr/>
      </w:pPr>
      <w:r>
        <w:rPr/>
        <w:t>Market impact: supply shift and price effects By the late nineteenth century, mechanized plantation production from India and Ceylon had altered global supply geometry. Secondary sources record that plantation</w:t>
        <w:noBreakHyphen/>
        <w:t>grown teas supplied large, cheaper quantities that undermined China’s export monopoly and placed price pressure on Chinese producers; the late nineteenth</w:t>
        <w:noBreakHyphen/>
        <w:t>century shift in export supply is a central feature of modern tea history [27][28][30][61]. Quantitative snapshots in the literature highlight the scale of nineteenth</w:t>
        <w:noBreakHyphen/>
        <w:t>century trade: for example, a late</w:t>
        <w:noBreakHyphen/>
        <w:t>nineteenth</w:t>
        <w:noBreakHyphen/>
        <w:t>century peak Chinese export weight cited in modern histories is 295 million pounds for 1886, but scholars emphasize that the late</w:t>
        <w:noBreakHyphen/>
        <w:t>century export landscape reflected both China’s still</w:t>
        <w:noBreakHyphen/>
        <w:t>large volumes and the rapidly rising contributions from plantation colonies [30].</w:t>
      </w:r>
    </w:p>
    <w:p>
      <w:pPr>
        <w:pStyle w:val="TextBody"/>
        <w:rPr/>
      </w:pPr>
      <w:r>
        <w:rPr/>
        <w:t>Technological diffusion and local innovation Mechanization did not simply transplant European industrial forms unchanged; it adapted to local conditions and local knowledge. Indian and Ceylonese factories developed processing sequences and factory layouts that integrated both imported machinery and locally refined techniques, producing regionally distinct manufactured tea types suited to different markets. The combination of mechanical innovation and colonial-scale production infrastructure explains how producers in relatively short periods scaled output to meet expanding European and global demand [65][67].</w:t>
      </w:r>
    </w:p>
    <w:p>
      <w:pPr>
        <w:pStyle w:val="TextBody"/>
        <w:rPr/>
      </w:pPr>
      <w:r>
        <w:rPr/>
        <w:t>Environmental and socio</w:t>
        <w:noBreakHyphen/>
        <w:t>economic consequences The move to plantations and mechanization reconfigured rural landscapes and labour regimes. Large tracts of hillland were converted to monocultural tea; associated infrastructure—roads, railheads, ports—followed to service exports. Labour systems, including indenture and wage regimes, shaped demographic patterns and social relations in producing regions. Scholars link these transformations to long</w:t>
        <w:noBreakHyphen/>
        <w:t>term social and ecological legacies—landscape change, new labour hierarchies, and integrated colonial commodity circuits—that remain features of modern tea landscapes [27][28][30].</w:t>
      </w:r>
    </w:p>
    <w:p>
      <w:pPr>
        <w:pStyle w:val="TextBody"/>
        <w:rPr/>
      </w:pPr>
      <w:r>
        <w:rPr/>
        <w:t>Continuities and legacies into the twentieth and twenty</w:t>
        <w:noBreakHyphen/>
        <w:t>first centuries The nineteenth</w:t>
        <w:noBreakHyphen/>
        <w:t>century transplantations and mechanization did not eliminate Chinese tea production nor erase its long cultural traditions. Rather, they re</w:t>
        <w:noBreakHyphen/>
        <w:t>arranged where and how the majority of exportable manufactured tea was produced. By the twentieth century a multi</w:t>
        <w:noBreakHyphen/>
        <w:t>national tea economy had taken shape: China remained a major producer (and the cultural heart of tea), while India, Sri Lanka and later other countries became principal exporters supplying the global market. Modern production statistics and share estimates (e.g., 2008 national production figures and green</w:t>
        <w:noBreakHyphen/>
        <w:t>tea share estimates) show both continuity and change: China remains an important producer by volume, particularly of green teas, even as the global export architecture was reshaped in the nineteenth century [13].</w:t>
      </w:r>
    </w:p>
    <w:p>
      <w:pPr>
        <w:pStyle w:val="TextBody"/>
        <w:rPr/>
      </w:pPr>
      <w:r>
        <w:rPr/>
        <w:t>Evidence limits and research notes The narrative above rests on syntheses of colonial botanical histories, industrial histories of tea processing, and economic and imperial studies that highlight the mid</w:t>
        <w:noBreakHyphen/>
        <w:t xml:space="preserve"> to late</w:t>
        <w:noBreakHyphen/>
        <w:t>nineteenth</w:t>
        <w:noBreakHyphen/>
        <w:t>century plant transfers, Robert Fortune’s role, and the expansion of plantation mechanization [64][65][27][28][30][65][67]. Gaps remain: detailed archival corpora documenting every plant</w:t>
        <w:noBreakHyphen/>
        <w:t>transfer expedition, exhaustive year</w:t>
        <w:noBreakHyphen/>
        <w:t>by</w:t>
        <w:noBreakHyphen/>
        <w:t>year Qing export returns in machine</w:t>
        <w:noBreakHyphen/>
        <w:t>readable form, and some paywalled monographs were not consulted here; the secondary literature provides the backbone for the periodization and causal claims used in this chapter. The sources consistently place botanical transfers and mechanization in the mid</w:t>
        <w:noBreakHyphen/>
        <w:t>nineteenth century onward and link plantation expansion to the late</w:t>
        <w:noBreakHyphen/>
        <w:t>nineteenth</w:t>
        <w:noBreakHyphen/>
        <w:t>century shift in export supply [64][65][61][67][30].</w:t>
      </w:r>
    </w:p>
    <w:p>
      <w:pPr>
        <w:pStyle w:val="PartTitle"/>
        <w:rPr/>
      </w:pPr>
      <w:bookmarkStart w:id="40" w:name="Xbb27cd576431a7d40c25d366968cf4ca6f11b35"/>
      <w:r>
        <w:rPr/>
        <w:t>Cultural Forms, Rituals and Localizations</w:t>
      </w:r>
      <w:bookmarkEnd w:id="40"/>
    </w:p>
    <w:p>
      <w:pPr>
        <w:pStyle w:val="Heading1"/>
        <w:rPr/>
      </w:pPr>
      <w:bookmarkStart w:id="41" w:name="__RefHeading___Toc1147_3383370932"/>
      <w:bookmarkStart w:id="42" w:name="X6817c6a1a7ff18a22fa95639f4b1e77b32954ac"/>
      <w:bookmarkEnd w:id="41"/>
      <w:r>
        <w:rPr/>
        <w:t>Chapter 8: Ceremonies, material culture and tea’s many social lives</w:t>
      </w:r>
    </w:p>
    <w:p>
      <w:pPr>
        <w:pStyle w:val="FirstParagraph"/>
        <w:rPr/>
      </w:pPr>
      <w:r>
        <w:rPr/>
        <w:t>Tea’s movement out of its early Chinese agricultural and medical contexts produced a striking multiplication of social forms: ritualized preparation, distinct utensils, public and domestic customs, and political symbolism. This chapter traces those regionalizations—Chinese loose</w:t>
        <w:noBreakHyphen/>
        <w:t>leaf and compressed traditions, Song powdered tea and its legacy, Japan’s chanoyu and later sencha culture, Korea’s court and ritual practices, Russia’s samovar and caravan drinking, and the British domestic ritual—showing how material culture, religion and trade networks shaped differing practices and meanings. Key interpretive limits are noted where evidence is circumstantial or derived from later codifications rather than contemporaneous ethnography or archaeology.</w:t>
      </w:r>
    </w:p>
    <w:p>
      <w:pPr>
        <w:pStyle w:val="TextBody"/>
        <w:rPr/>
      </w:pPr>
      <w:r>
        <w:rPr/>
        <w:t>Tang–Song transition: material forms and techniques By the Tang and Song dynasties, tea had already been both a cultivated commodity and a material culture complex. Tang</w:t>
        <w:noBreakHyphen/>
        <w:t>period practice favoured steamed and compressed brick or cake teas that were ground and whisked; utensils such as graters and specialized bowls appear in the Tang material record, and the grinding</w:t>
        <w:noBreakHyphen/>
        <w:t>and</w:t>
        <w:noBreakHyphen/>
        <w:t>whisking technique features in Tang descriptions and in the later codifying works that Lu Yu exemplified in the Tang–early medieval tradition [11][73]. The Song dynasty intensified connoisseurship: powdered tea preparation, aesthetic evaluation of leaf quality and teawares, official tea offices, and associated tastes became institutionalized, producing specialized ceramics, finely balanced water</w:t>
        <w:noBreakHyphen/>
        <w:t>heating implements and ritualized service sequences that directly influenced later East Asian practices [15][24].</w:t>
      </w:r>
    </w:p>
    <w:p>
      <w:pPr>
        <w:pStyle w:val="TextBody"/>
        <w:rPr/>
      </w:pPr>
      <w:r>
        <w:rPr/>
        <w:t>These Chinese developments mattered for two reasons. First, they show how technical choices—steaming, compression, grinding, whisking—are inseparable from vessel design (graters, bowls, whisks) and the sensory qualities those choices produce. Second, the Song emphasis on powdered tea and connoisseurship provided a cultural template that Japanese monks and envoys encountered and adapted centuries later, underpinning Japan’s ritualized chanoyu (tea ceremony) lineage [15][24].</w:t>
      </w:r>
    </w:p>
    <w:p>
      <w:pPr>
        <w:pStyle w:val="TextBody"/>
        <w:rPr/>
      </w:pPr>
      <w:r>
        <w:rPr/>
        <w:t>Japan: chanoyu, sencha and the ritual imagination Japan’s principal tea cultures developed under the influence of imports from Tang and Song China carried by visiting monks and envoys, and through dedicated reception and reworking in monastic and court settings [17][24]. From the 8th century onward, Buddhist clerics returning from China introduced seedlings, techniques and habits; by the medieval to early modern eras these inputs had been domesticated into distinct Japanese forms.</w:t>
      </w:r>
    </w:p>
    <w:p>
      <w:pPr>
        <w:pStyle w:val="TextBody"/>
        <w:rPr/>
      </w:pPr>
      <w:r>
        <w:rPr/>
        <w:t>Chanoyu (the powdered</w:t>
        <w:noBreakHyphen/>
        <w:t>tea ritual associated with matcha) is the most formalized of these traditions. It crystallized between the 13th and 16th centuries through stages of aesthetic codification, culminating in the multi</w:t>
        <w:noBreakHyphen/>
        <w:t>component chanoyu complex—architecture (tea rooms), utensils (tea bowls, bamboo whisks, tea scoops), choreography (host/guest roles), and a philosophical aesthetic (wabi</w:t>
        <w:noBreakHyphen/>
        <w:t>sabi). Song</w:t>
        <w:noBreakHyphen/>
        <w:t>period powdered and whisked preparation was a direct antecedent to matcha rituals, and the Japanese system both preserved and transformed those practices into a highly ritualized cultural form that foregrounds attention, etiquette and symbolic exchange [15][24]. Separately, the later adoption of loose</w:t>
        <w:noBreakHyphen/>
        <w:t>leaf steeping (sencha) in Japan—promoted in part by contact with Chinese brewing methods and by domestic cultivation changes—created a parallel, less formal domestic practice emphasizing different tea cultivars and processing methods [15][24].</w:t>
      </w:r>
    </w:p>
    <w:p>
      <w:pPr>
        <w:pStyle w:val="TextBody"/>
        <w:rPr/>
      </w:pPr>
      <w:r>
        <w:rPr/>
        <w:t>Korea: court rites, Buddhist mediation and local forms Korean tea culture developed through a mix of Buddhist monastic transmission and royal court adoption, resulting in ritual contexts that emphasize etiquette and connection to literati culture. Tea rites in Korea retain formalized sequences for pouring, offering and drinking in memorial and ceremonial settings; while less globally visible than Japanese chanoyu, Korean tea practices signal continuity with East Asian ritual repertoires and localized aesthetic priorities [20][24]. Monastic communities in Korea also acted as vectors for standardizing tea consumption and integrating it into calendrical and liturgical life, reinforcing tea’s ritual status beyond elite courts [24].</w:t>
      </w:r>
    </w:p>
    <w:p>
      <w:pPr>
        <w:pStyle w:val="TextBody"/>
        <w:rPr/>
      </w:pPr>
      <w:r>
        <w:rPr/>
        <w:t>China: multiplicity of forms and the persistence of local systems Within China itself, tea practices never homogenized. Regional production and processing methods—steamed, pan</w:t>
        <w:noBreakHyphen/>
        <w:t>fired, compressed cakes, and later loose</w:t>
        <w:noBreakHyphen/>
        <w:t>leaf forms—produced regionally distinct tastes and service styles. The Song dynasty’s powdered traditions coexisted with compressed tea culture and with local medicinal and household uses that preceded and outlived court fashions [10][15]. Even after the Ming innovations that favored loose</w:t>
        <w:noBreakHyphen/>
        <w:t>leaf steeping (commonly associated with the 14th–17th centuries), earlier material forms persisted in ritual subcultures and among specialist producers, so that China’s tea culture remained polycentric and historically layered [10][15].</w:t>
      </w:r>
    </w:p>
    <w:p>
      <w:pPr>
        <w:pStyle w:val="TextBody"/>
        <w:rPr/>
      </w:pPr>
      <w:r>
        <w:rPr/>
        <w:t>Central Asian and Russian caravan cultures: samovars and supply networks Overland exchange networks—the Tea Road linking southern Chinese producing regions to Mongolia, Siberia and European Russia—gave rise to caravan tea cultures in which portability, preservation and communal drinking shaped material practice. Compressed brick teas travelled well and were often reconstituted in caravan contexts; in Russia and among steppe peoples, the samovar and large communal vessels became focal to a social practice of shared warmth and hospitality. Russian tea culture thus fused imported commodities and local material forms: the samovar as a heating and social device, and the tea’s serving conventions as a civic and domestic ritual that framed hospitality and family life [33][39][38].</w:t>
      </w:r>
    </w:p>
    <w:p>
      <w:pPr>
        <w:pStyle w:val="TextBody"/>
        <w:rPr/>
      </w:pPr>
      <w:r>
        <w:rPr/>
        <w:t>Linguistic evidence underlines route effects: the lexical split in European languages—cha/chá versus te/tea—maps onto supply</w:t>
        <w:noBreakHyphen/>
        <w:t>chain provenance, reflecting how commercial channels influence cultural reception and lexical adoption. The Portuguese/Cantonese chá/cha and Dutch/Fujian te/tea dichotomy is a material signature of maritime and regional routes shaping cultural forms in Europe and the Atlantic world [48][49][53].</w:t>
      </w:r>
    </w:p>
    <w:p>
      <w:pPr>
        <w:pStyle w:val="TextBody"/>
        <w:rPr/>
      </w:pPr>
      <w:r>
        <w:rPr/>
        <w:t>Europe and Britain: domestic rituals, political symbolism and commercialization European adoption of tea followed maritime contact in the 16th–17th centuries and was quickly inflected by social class and courtly fashions. Catherine of Braganza’s arrival in England (1662) helped establish tea at court, from which it diffused through urban mercantile and aristocratic networks into bourgeois domestic routines [48]. In Britain, tea became a marker of polite sociability and domestic respectability—ritualized around set serving times, particular vessels (teapots, cups, and saucers) and conventions (afternoon tea, the teatable) that anchored family life and social performance. These domestic rituals domesticated an imported commodity into national identity and daily practice.</w:t>
      </w:r>
    </w:p>
    <w:p>
      <w:pPr>
        <w:pStyle w:val="TextBody"/>
        <w:rPr/>
      </w:pPr>
      <w:r>
        <w:rPr/>
        <w:t>Tea also became a political symbol. The Boston Tea Party and related Atlantic controversies show how a beverage could become shorthand for taxation, imperial prerogative and resistance—linking material culture (tea chests, shipping, auctions) to political performance and identity [14][29]. The British experience also illustrates how demand shapes material and institutional change: persistent British appetite for Chinese tea, and the resulting silver flows, reshaped commercial strategy and ultimately prompted botanical and colonial interventions to secure plantation production outside China [25][31].</w:t>
      </w:r>
    </w:p>
    <w:p>
      <w:pPr>
        <w:pStyle w:val="TextBody"/>
        <w:rPr/>
      </w:pPr>
      <w:r>
        <w:rPr/>
        <w:t>Plantation contexts and industrial labor regimes The nineteenth century’s transplanting of tea biology and processing technologies to colonial plantations reconfigured material culture once more. Plantation-scale processing required mechanized rolling and bruising machinery, factory buildings, and standardized packaging for export. These industrial forms produced new labour regimes and new material infrastructures—railways, shipping lines and factory workshops—that connected production landscapes to consumer markets on an unprecedented scale. Mechanization and plantation design also altered the social life of tea at origin: where tea had been processed in small workshops or households, factory processes centralized production and created new classes of wage labour in colonial contexts [65][67].</w:t>
      </w:r>
    </w:p>
    <w:p>
      <w:pPr>
        <w:pStyle w:val="TextBody"/>
        <w:rPr/>
      </w:pPr>
      <w:r>
        <w:rPr/>
        <w:t>Religious, social and gendered dimensions Across regions, tea’s ritual forms often intersect with religious practice and gendered spaces. Buddhist monastic networks were important vectors in East Asia, transmitting both material techniques and consumption norms [11][73]. In domestic settings, tea rituals frequently structured gendered work: in some contexts beverage preparation and serving were central to women’s domestic labour and to gendered forms of hospitality; in ceremonial settings, officiants and guests might follow gendered conventions that structured access and status. These intersections require localized ethnographic and historical attention rather than broad generalization.</w:t>
      </w:r>
    </w:p>
    <w:p>
      <w:pPr>
        <w:pStyle w:val="TextBody"/>
        <w:rPr/>
      </w:pPr>
      <w:r>
        <w:rPr/>
        <w:t>Summary of evidence, limits and interpretive gaps The multidisciplinary evidence assembled here makes several robust points: powdered tea and whisking practices in Tang–Song China influenced East Asian ritual forms (notably Japanese chanoyu) [15][24]; Buddhist monastic and diplomatic contacts carried tea technologies and plants to Korea and Japan [17][24]; overland caravan routes and compressed tea formats shaped Central Asian and Russian samovar cultures [33][39][38]; and European lexical and material patterns reflect specific maritime provenance pathways [48][49][53]. At the same time, evidence gaps remain. Much of our understanding relies on later codifications (Lu Yu, Song connoisseurship) and on ethnographic continuity assumptions rather than continuous contemporary documentation from earliest contacts. The archaeological and historic records provide snapshots—important anchors—but not a continuous narrative of everyday practice across the first two millennia of tea’s diffusion [44][73].</w:t>
      </w:r>
    </w:p>
    <w:p>
      <w:pPr>
        <w:pStyle w:val="PartTitle"/>
        <w:rPr/>
      </w:pPr>
      <w:bookmarkStart w:id="43" w:name="X6817c6a1a7ff18a22fa95639f4b1e77b32954ac"/>
      <w:r>
        <w:rPr/>
        <w:t>Appendices</w:t>
      </w:r>
      <w:bookmarkEnd w:id="43"/>
    </w:p>
    <w:p>
      <w:pPr>
        <w:pStyle w:val="Heading1"/>
        <w:rPr/>
      </w:pPr>
      <w:bookmarkStart w:id="44" w:name="__RefHeading___Toc1149_3383370932"/>
      <w:bookmarkStart w:id="45" w:name="Xe0bf34dce55f83ee361abc026b108f9ac9ea09a"/>
      <w:bookmarkEnd w:id="44"/>
      <w:r>
        <w:rPr/>
        <w:t>Appendix A: Data, methods and research gaps</w:t>
      </w:r>
    </w:p>
    <w:p>
      <w:pPr>
        <w:pStyle w:val="FirstParagraph"/>
        <w:rPr/>
      </w:pPr>
      <w:r>
        <w:rPr/>
        <w:t>This appendix summarizes analytical methods used across the dossier material, notes the provenance and limits of key source types, and prioritizes empirical gaps that, if addressed, would sharpen timelines and domestication inferences for Camellia sinensis.</w:t>
      </w:r>
    </w:p>
    <w:p>
      <w:pPr>
        <w:pStyle w:val="TextBody"/>
        <w:rPr/>
      </w:pPr>
      <w:r>
        <w:rPr/>
        <w:t>Analytical approaches - Archaeobotany and macrofossil/eco-contextual analysis — excavation reports and site stratigraphy provide contextual anchors (e.g., Tianluoshan, Han tomb contexts). Macro-remains (seeds, rhizomes) supply contextual and morphological evidence but are often fragmentary and vulnerable to taphonomic alteration. [92][44] - Phytolith and calcium</w:t>
        <w:noBreakHyphen/>
        <w:t>oxalate crystal morphology — diagnostic microfossils and crystal-types help distinguish Camellia</w:t>
        <w:noBreakHyphen/>
        <w:t>type tissues in degraded deposits; when recovered in stratified contexts they contribute to behavioral inferences about cultivation and processing. Phytolith evidence is sensitive to depositional context and comparative reference collections. [89][90][2] - Targeted biomolecular detection (targeted metabolomics) — targeted assays for L</w:t>
        <w:noBreakHyphen/>
        <w:t>theanine and caffeine (LC/HRMS, GC/MS) have been used to argue for tea identification in poorly preserved remains; multi</w:t>
        <w:noBreakHyphen/>
        <w:t>compound signatures are stronger than single</w:t>
        <w:noBreakHyphen/>
        <w:t>compound presence because some biomarkers (including theanine) occur in non</w:t>
        <w:noBreakHyphen/>
        <w:t>Camellia taxa or degrade diagenetically. [2][82][90] - Radiocarbon dating (AMS) — direct 14C dating of associated materials or residues anchors chronological claims (e.g., Han Yangling DK15</w:t>
        <w:noBreakHyphen/>
        <w:t>1 AMS ~255 ± 80 BCE; Gurgyam XZ</w:t>
        <w:noBreakHyphen/>
        <w:t>1 ≈ early centuries CE). Reliable when sample association and contamination controls are documented. [2] - Ancient DNA (aDNA) — shotgun or targeted aDNA from plant remains would provide taxonomic confirmation and phylogenetic placement relative to modern cultivars; however, reproducible aDNA recovery for Camellia from Neolithic or wetland contexts is not yet demonstrated in the reviewed literature. aDNA success depends on preservation conditions and strict contamination controls. [74][79] - Population genomics and SNP surveys — large</w:t>
        <w:noBreakHyphen/>
        <w:t>scale genotyping (e.g., tens to hundreds of thousands of SNPs) on modern cultivars and wild relatives reveals population structure, centers of diversity (Yunnan, Yangtze basin, eastern provinces) and patterns consistent with multiple domestication events and introgression. These analyses are limited by sampling density, especially of wild Camellia lineages. [80] - Integrative synthesis (multi</w:t>
        <w:noBreakHyphen/>
        <w:t>proxy triangulation) — best practice combines microfossil morphology, multiple biomolecular markers, direct dating and genomic context to move from plausible identification to robust species</w:t>
        <w:noBreakHyphen/>
        <w:t>level and domestication inferences. Recent Han/Tibetan identifications exemplify multi</w:t>
        <w:noBreakHyphen/>
        <w:t>proxy application but older claims (e.g., Tianluoshan) lack comparable replicated integrative confirmation. [2][90][82]</w:t>
      </w:r>
    </w:p>
    <w:p>
      <w:pPr>
        <w:pStyle w:val="TextBody"/>
        <w:rPr/>
      </w:pPr>
      <w:r>
        <w:rPr/>
        <w:t>Source provenance and limits - Primary excavation reports, peer</w:t>
        <w:noBreakHyphen/>
        <w:t>reviewed biomolecular studies and AMS dates form the strongest evidence lines when full methods and raw data are available. Many local or older claims are reported in secondary summaries or in-language reports with limited international access, constraining independent evaluation. The biodiversity</w:t>
        <w:noBreakHyphen/>
        <w:t>science.net review could not be fully retrieved in this run, limiting direct assessment of its data. [4] - Museum exhibits and institutional press summaries are valuable for pointing to finds but must be corroborated with published stratigraphic, analytical and dating documentation before use as firm evidence. [41][43]</w:t>
      </w:r>
    </w:p>
    <w:p>
      <w:pPr>
        <w:pStyle w:val="TextBody"/>
        <w:rPr/>
      </w:pPr>
      <w:r>
        <w:rPr/>
        <w:t>Prioritized empirical gaps 1. Reproducible aDNA from archaeological Camellia remains — secure nuclear/plastid sequences would confirm species ID and permit direct phylogenetic links to modern cultivars (highest priority). [74][79] 2. Independent, replicated multi</w:t>
        <w:noBreakHyphen/>
        <w:t>compound biomarker studies for Neolithic claims — targeted metabolomics (multi</w:t>
        <w:noBreakHyphen/>
        <w:t>compound panels) plus phytolith confirmation and independent labs replicating Tianluoshan/Hemudu results would clarify early Neolithic assertions (~6000 BP). [82][90][92] 3. Denser wild</w:t>
        <w:noBreakHyphen/>
        <w:t>population sampling in genomic surveys — expanded geographic coverage of wild Camellia lineages (especially undersampled southwestern populations) to resolve directionality and local introgression patterns in domestication. [80] 4. Open primary</w:t>
        <w:noBreakHyphen/>
        <w:t>data publication and cross</w:t>
        <w:noBreakHyphen/>
        <w:t>language accessibility — full method/data publication (including raw chromatograms, phytolith images and AMS lab reports) for key finds to permit independent reanalysis. [4] 5. Integrated regional chronologies — a coordinated program reconciling macrofossil, microfossil, biomolecular and textual evidence into interoperable, date-calibrated regional timelines would reduce composite uncertainty. [2][6]</w:t>
      </w:r>
    </w:p>
    <w:p>
      <w:pPr>
        <w:pStyle w:val="TextBody"/>
        <w:rPr/>
      </w:pPr>
      <w:bookmarkStart w:id="46" w:name="Xe0bf34dce55f83ee361abc026b108f9ac9ea09a"/>
      <w:r>
        <w:rPr/>
        <w:t>Collectively, these priorities outline a practical agenda: recover genetic confirmation where possible, replicate biomarker claims with multi</w:t>
        <w:noBreakHyphen/>
        <w:t>lab protocols, and broaden comparative sampling—steps that would materially improve confidence in early tea chronology and domestication narratives.</w:t>
      </w:r>
      <w:bookmarkEnd w:id="46"/>
    </w:p>
    <w:p>
      <w:pPr>
        <w:pStyle w:val="Heading1"/>
        <w:rPr/>
      </w:pPr>
      <w:bookmarkStart w:id="47" w:name="__RefHeading___Toc1151_3383370932"/>
      <w:bookmarkStart w:id="48" w:name="appendix-b-chronology-and-key-dates"/>
      <w:bookmarkEnd w:id="47"/>
      <w:r>
        <w:rPr/>
        <w:t>Appendix B: Chronology and key dates</w:t>
      </w:r>
    </w:p>
    <w:p>
      <w:pPr>
        <w:pStyle w:val="Heading2"/>
        <w:rPr/>
      </w:pPr>
      <w:bookmarkStart w:id="49" w:name="__RefHeading___Toc1153_3383370932"/>
      <w:bookmarkStart w:id="50" w:name="X427589f470f055969e046e07ab5585eaceaf552"/>
      <w:bookmarkEnd w:id="49"/>
      <w:r>
        <w:rPr/>
        <w:t>Appendix B: Chronology and key dates | words=300</w:t>
      </w:r>
    </w:p>
    <w:p>
      <w:pPr>
        <w:pStyle w:val="Compact"/>
        <w:numPr>
          <w:ilvl w:val="0"/>
          <w:numId w:val="16"/>
        </w:numPr>
        <w:rPr/>
      </w:pPr>
      <w:r>
        <w:rPr/>
        <w:t>c. late first millennium BCE — Physical/archaeological presence of tea in central China attested by microfossil/biomolecular analyses (Han-period contexts); best-supported early physical finds date to this period. [D01][grounding.md?]</w:t>
        <w:br/>
      </w:r>
    </w:p>
    <w:p>
      <w:pPr>
        <w:pStyle w:val="Compact"/>
        <w:numPr>
          <w:ilvl w:val="0"/>
          <w:numId w:val="17"/>
        </w:numPr>
        <w:rPr/>
      </w:pPr>
      <w:r>
        <w:rPr/>
        <w:t>ca. 255 ± 80 BCE (interpreted ≈2100 BP) — AMS radiocarbon date for DK15-1, a Han Yangling (near Xi’an) sample identified as tea by multi</w:t>
        <w:noBreakHyphen/>
        <w:t>proxy criteria (theanine + caffeine + diagnostic calcium phytoliths). [D01][2]</w:t>
        <w:br/>
      </w:r>
    </w:p>
    <w:p>
      <w:pPr>
        <w:pStyle w:val="Compact"/>
        <w:numPr>
          <w:ilvl w:val="0"/>
          <w:numId w:val="18"/>
        </w:numPr>
        <w:rPr/>
      </w:pPr>
      <w:r>
        <w:rPr/>
        <w:t>ca. 59 BCE — Written reference in Western Han-era texts referring to tea as a commodity (earliest cited textual mention). [D01][7]</w:t>
        <w:br/>
      </w:r>
    </w:p>
    <w:p>
      <w:pPr>
        <w:pStyle w:val="Compact"/>
        <w:numPr>
          <w:ilvl w:val="0"/>
          <w:numId w:val="19"/>
        </w:numPr>
        <w:rPr/>
      </w:pPr>
      <w:r>
        <w:rPr/>
        <w:t>c. 2nd–3rd century CE (≈1800 BP) — Radiocarbon date for XZ-1 (Gurgyam cemetery, western Tibet), indicating tea (or prepared tea) reached the Tibetan Plateau by this time and suggesting early high-altitude exchange routes. [D01][2][8]</w:t>
        <w:br/>
      </w:r>
    </w:p>
    <w:p>
      <w:pPr>
        <w:pStyle w:val="Compact"/>
        <w:numPr>
          <w:ilvl w:val="0"/>
          <w:numId w:val="20"/>
        </w:numPr>
        <w:rPr/>
      </w:pPr>
      <w:r>
        <w:rPr/>
        <w:t>Tang dynasty, ca. 780 AD — Conventional composition date for Lu Yu’s The Classic of Tea (Cha Jing), whose codification shaped cultivation, processing and tastes in later medieval East Asia. [D02][10][15]</w:t>
        <w:br/>
      </w:r>
    </w:p>
    <w:p>
      <w:pPr>
        <w:pStyle w:val="Compact"/>
        <w:numPr>
          <w:ilvl w:val="0"/>
          <w:numId w:val="21"/>
        </w:numPr>
        <w:rPr/>
      </w:pPr>
      <w:r>
        <w:rPr/>
        <w:t>729 AD — Recorded diplomatic gift of tea to the Japanese court (Nara period), part of early transmission to Japan via diplomatic and monastic channels. [D02][17]</w:t>
        <w:br/>
      </w:r>
    </w:p>
    <w:p>
      <w:pPr>
        <w:pStyle w:val="Compact"/>
        <w:numPr>
          <w:ilvl w:val="0"/>
          <w:numId w:val="22"/>
        </w:numPr>
        <w:rPr/>
      </w:pPr>
      <w:r>
        <w:rPr/>
        <w:t>8th–9th centuries CE — Japanese monks returning from Tang China bring tea seeds, methods and ritual practices, establishing cultivation and ceremonial use in Japan. [D02][17][24]</w:t>
        <w:br/>
      </w:r>
    </w:p>
    <w:p>
      <w:pPr>
        <w:pStyle w:val="Compact"/>
        <w:numPr>
          <w:ilvl w:val="0"/>
          <w:numId w:val="23"/>
        </w:numPr>
        <w:rPr/>
      </w:pPr>
      <w:r>
        <w:rPr/>
        <w:t>16th–17th centuries — European maritime entry into China trade (Portuguese, Dutch) and first regular shipments of tea to Europe; first European literary references appear in the 16th century. [D02][48]</w:t>
        <w:br/>
      </w:r>
    </w:p>
    <w:p>
      <w:pPr>
        <w:pStyle w:val="Compact"/>
        <w:numPr>
          <w:ilvl w:val="0"/>
          <w:numId w:val="24"/>
        </w:numPr>
        <w:rPr/>
      </w:pPr>
      <w:r>
        <w:rPr/>
        <w:t>1765–1774 (average) — EIC-era reported average annual export value from China: total 1,508,107 taels; tea value 1,071,570 taels (EIC accounting context). [D02][25]</w:t>
        <w:br/>
      </w:r>
    </w:p>
    <w:p>
      <w:pPr>
        <w:pStyle w:val="Compact"/>
        <w:numPr>
          <w:ilvl w:val="0"/>
          <w:numId w:val="25"/>
        </w:numPr>
        <w:rPr/>
      </w:pPr>
      <w:r>
        <w:rPr/>
        <w:t>1834 — British Parliament ends the East India Company tea monopoly (legislative milestone affecting trade structure). [D02][29]</w:t>
        <w:br/>
      </w:r>
    </w:p>
    <w:p>
      <w:pPr>
        <w:pStyle w:val="Compact"/>
        <w:numPr>
          <w:ilvl w:val="0"/>
          <w:numId w:val="26"/>
        </w:numPr>
        <w:rPr/>
      </w:pPr>
      <w:r>
        <w:rPr/>
        <w:t>1839–1842 — First Opium War, a major political</w:t>
        <w:noBreakHyphen/>
        <w:t>military consequence tied in historiography to tea demand, silver flows and the opium countertrade. [D02][26][25]</w:t>
        <w:br/>
      </w:r>
    </w:p>
    <w:p>
      <w:pPr>
        <w:pStyle w:val="Compact"/>
        <w:numPr>
          <w:ilvl w:val="0"/>
          <w:numId w:val="27"/>
        </w:numPr>
        <w:rPr/>
      </w:pPr>
      <w:r>
        <w:rPr/>
        <w:t>1840s–1860s — Botanical transfer campaigns (e.g., Robert Fortune) and establishment of colonial plantations in India/Ceylon; mid</w:t>
        <w:noBreakHyphen/>
        <w:t xml:space="preserve"> to late</w:t>
        <w:noBreakHyphen/>
        <w:t>19th century mechanization and plantation expansion shift global supply geography. [D02][64][65][67]</w:t>
      </w:r>
    </w:p>
    <w:p>
      <w:pPr>
        <w:pStyle w:val="FirstParagraph"/>
        <w:rPr/>
      </w:pPr>
      <w:bookmarkStart w:id="51" w:name="appendix-b-chronology-and-key-dates"/>
      <w:bookmarkStart w:id="52" w:name="X427589f470f055969e046e07ab5585eaceaf552"/>
      <w:r>
        <w:rPr/>
        <w:t>Not found / unresolved - A single, universally accepted Neolithic aDNA confirmation linking Tianluoshan (~6000 BP) Camellia remains to modern C. sinensis was not found; multi</w:t>
        <w:noBreakHyphen/>
        <w:t>proxy replication and ancient</w:t>
        <w:noBreakHyphen/>
        <w:t>DNA confirmation remain outstanding gaps. [D01][grounding.md?]</w:t>
      </w:r>
      <w:bookmarkEnd w:id="51"/>
      <w:bookmarkEnd w:id="52"/>
    </w:p>
    <w:p>
      <w:pPr>
        <w:pStyle w:val="Heading1"/>
        <w:rPr/>
      </w:pPr>
      <w:bookmarkStart w:id="53" w:name="__RefHeading___Toc1155_3383370932"/>
      <w:bookmarkStart w:id="54" w:name="sources-cited"/>
      <w:bookmarkEnd w:id="53"/>
      <w:r>
        <w:rPr/>
        <w:t>Sources cited</w:t>
      </w:r>
    </w:p>
    <w:p>
      <w:pPr>
        <w:pStyle w:val="FirstParagraph"/>
        <w:rPr/>
      </w:pPr>
      <w:r>
        <w:rPr/>
        <w:t xml:space="preserve">[2] Earliest tea as evidence for one branch of the Silk Road across the Tibetan Plateau - Scientific Reports - Abstract — www.nature.com — </w:t>
      </w:r>
      <w:r>
        <w:fldChar w:fldCharType="begin"/>
      </w:r>
      <w:r>
        <w:rPr>
          <w:rStyle w:val="InternetLink"/>
        </w:rPr>
        <w:instrText xml:space="preserve"> HYPERLINK "https://www.nature.com/articles/srep18955" \l "1"</w:instrText>
      </w:r>
      <w:r>
        <w:rPr>
          <w:rStyle w:val="InternetLink"/>
        </w:rPr>
        <w:fldChar w:fldCharType="separate"/>
      </w:r>
      <w:r>
        <w:rPr>
          <w:rStyle w:val="InternetLink"/>
        </w:rPr>
        <w:t>https://www.nature.com/articles/srep18955#1</w:t>
      </w:r>
      <w:r>
        <w:rPr>
          <w:rStyle w:val="InternetLink"/>
        </w:rPr>
        <w:fldChar w:fldCharType="end"/>
      </w:r>
      <w:r>
        <w:rPr/>
        <w:t xml:space="preserve"> — accessed 2026-10-24</w:t>
      </w:r>
    </w:p>
    <w:p>
      <w:pPr>
        <w:pStyle w:val="TextBody"/>
        <w:rPr/>
      </w:pPr>
      <w:r>
        <w:rPr/>
        <w:t>[4] ·</w:t>
      </w:r>
      <w:r>
        <w:rPr/>
        <w:t>综述</w:t>
      </w:r>
      <w:r>
        <w:rPr/>
        <w:t xml:space="preserve">· — www.biodiversity-science.net — </w:t>
      </w:r>
      <w:r>
        <w:fldChar w:fldCharType="begin"/>
      </w:r>
      <w:r>
        <w:rPr>
          <w:rStyle w:val="InternetLink"/>
        </w:rPr>
        <w:instrText xml:space="preserve"> HYPERLINK "https://www.biodiversity-science.net/EN/article/downloadArticleFile.do?attachType=PDF&amp;id=29199" \l "1%236%231"</w:instrText>
      </w:r>
      <w:r>
        <w:rPr>
          <w:rStyle w:val="InternetLink"/>
        </w:rPr>
        <w:fldChar w:fldCharType="separate"/>
      </w:r>
      <w:r>
        <w:rPr>
          <w:rStyle w:val="InternetLink"/>
        </w:rPr>
        <w:t>https://www.biodiversity-science.net/EN/article/downloadArticleFile.do?attachType=PDF&amp;id=29199#1%236%231</w:t>
      </w:r>
      <w:r>
        <w:rPr>
          <w:rStyle w:val="InternetLink"/>
        </w:rPr>
        <w:fldChar w:fldCharType="end"/>
      </w:r>
      <w:r>
        <w:rPr/>
        <w:t xml:space="preserve"> — accessed 2026-10-24</w:t>
      </w:r>
    </w:p>
    <w:p>
      <w:pPr>
        <w:pStyle w:val="TextBody"/>
        <w:rPr/>
      </w:pPr>
      <w:r>
        <w:rPr/>
        <w:t xml:space="preserve">[6] </w:t>
      </w:r>
      <w:r>
        <w:rPr/>
        <w:t xml:space="preserve">茗碗自赍持：茶的古今传承 — </w:t>
      </w:r>
      <w:r>
        <w:rPr/>
        <w:t xml:space="preserve">lishisuo.cssn.cn — </w:t>
      </w:r>
      <w:r>
        <w:fldChar w:fldCharType="begin"/>
      </w:r>
      <w:r>
        <w:rPr>
          <w:rStyle w:val="InternetLink"/>
        </w:rPr>
        <w:instrText xml:space="preserve"> HYPERLINK "http://lishisuo.cssn.cn/xsyj/gdwhs/202001/t20200116_5078872.shtml" \l "1"</w:instrText>
      </w:r>
      <w:r>
        <w:rPr>
          <w:rStyle w:val="InternetLink"/>
        </w:rPr>
        <w:fldChar w:fldCharType="separate"/>
      </w:r>
      <w:r>
        <w:rPr>
          <w:rStyle w:val="InternetLink"/>
        </w:rPr>
        <w:t>http://lishisuo.cssn.cn/xsyj/gdwhs/202001/t20200116_5078872.shtml#1</w:t>
      </w:r>
      <w:r>
        <w:rPr>
          <w:rStyle w:val="InternetLink"/>
        </w:rPr>
        <w:fldChar w:fldCharType="end"/>
      </w:r>
      <w:r>
        <w:rPr/>
        <w:t xml:space="preserve"> — accessed 2026-10-24</w:t>
      </w:r>
    </w:p>
    <w:p>
      <w:pPr>
        <w:pStyle w:val="TextBody"/>
        <w:rPr/>
      </w:pPr>
      <w:r>
        <w:rPr/>
        <w:t xml:space="preserve">[7] </w:t>
      </w:r>
      <w:r>
        <w:rPr/>
        <w:t>吕厚远等</w:t>
      </w:r>
      <w:r>
        <w:rPr/>
        <w:t>-Scientific Reports</w:t>
      </w:r>
      <w:r>
        <w:rPr/>
        <w:t>：世界上最早茶叶实物的发现表明丝绸之路的一个分支在距今</w:t>
      </w:r>
      <w:r>
        <w:rPr/>
        <w:t>1800</w:t>
      </w:r>
      <w:r>
        <w:rPr/>
        <w:t>年前就穿越青藏高原</w:t>
      </w:r>
      <w:r>
        <w:rPr/>
        <w:t>----</w:t>
      </w:r>
      <w:r>
        <w:rPr/>
        <w:t xml:space="preserve">中国科学院地质与地球物理研究所 — </w:t>
      </w:r>
      <w:r>
        <w:rPr/>
        <w:t xml:space="preserve">www.igg.cas.cn — </w:t>
      </w:r>
      <w:hyperlink r:id="rId2">
        <w:r>
          <w:rPr>
            <w:rStyle w:val="InternetLink"/>
          </w:rPr>
          <w:t>http://www.igg.cas.cn/xwzx/yjcg/ydyl/201601/t20160111_4516108.html</w:t>
        </w:r>
      </w:hyperlink>
      <w:r>
        <w:rPr/>
        <w:t xml:space="preserve"> — accessed 2026-10-24</w:t>
      </w:r>
    </w:p>
    <w:p>
      <w:pPr>
        <w:pStyle w:val="TextBody"/>
        <w:rPr/>
      </w:pPr>
      <w:r>
        <w:rPr/>
        <w:t xml:space="preserve">[8] </w:t>
      </w:r>
      <w:r>
        <w:rPr/>
        <w:t>【中新网】中国科学家发现最古老茶叶及</w:t>
      </w:r>
      <w:r>
        <w:rPr/>
        <w:t>1800</w:t>
      </w:r>
      <w:r>
        <w:rPr/>
        <w:t>年前的“丝路分支”</w:t>
      </w:r>
      <w:r>
        <w:rPr/>
        <w:t>----</w:t>
      </w:r>
      <w:r>
        <w:rPr/>
        <w:t xml:space="preserve">中国科学院地质与地球物理研究所 — </w:t>
      </w:r>
      <w:r>
        <w:rPr/>
        <w:t xml:space="preserve">www.igg.cas.cn — </w:t>
      </w:r>
      <w:hyperlink r:id="rId3">
        <w:r>
          <w:rPr>
            <w:rStyle w:val="InternetLink"/>
          </w:rPr>
          <w:t>http://www.igg.cas.cn/kxcb/mtsm/201601/t20160118_4519847.html</w:t>
        </w:r>
      </w:hyperlink>
      <w:r>
        <w:rPr/>
        <w:t xml:space="preserve"> — accessed 2026-10-24</w:t>
      </w:r>
    </w:p>
    <w:p>
      <w:pPr>
        <w:pStyle w:val="TextBody"/>
        <w:rPr/>
      </w:pPr>
      <w:r>
        <w:rPr/>
        <w:t xml:space="preserve">[9] Chapter 2 Tracing the History of Tea Culture — www.degruyterbrill.com — </w:t>
      </w:r>
      <w:r>
        <w:fldChar w:fldCharType="begin"/>
      </w:r>
      <w:r>
        <w:rPr>
          <w:rStyle w:val="InternetLink"/>
        </w:rPr>
        <w:instrText xml:space="preserve"> HYPERLINK "https://www.degruyterbrill.com/_language/de?uri=%2Fdocument%2Fdoi%2F10.21832%2F9781845410582-004%2Fhtml%3Fsrsltid%3DAfmBOopa1lO0fIs18OLq_C5QIpIT5xM2ne0tOZKjdm5Y9geExhwgIQBS" \l "1%231%231"</w:instrText>
      </w:r>
      <w:r>
        <w:rPr>
          <w:rStyle w:val="InternetLink"/>
        </w:rPr>
        <w:fldChar w:fldCharType="separate"/>
      </w:r>
      <w:r>
        <w:rPr>
          <w:rStyle w:val="InternetLink"/>
        </w:rPr>
        <w:t>https://www.degruyterbrill.com/_language/de?uri=%2Fdocument%2Fdoi%2F10.21832%2F9781845410582-004%2Fhtml%3Fsrsltid%3DAfmBOopa1lO0fIs18OLq_C5QIpIT5xM2ne0tOZKjdm5Y9geExhwgIQBS#1%231%231</w:t>
      </w:r>
      <w:r>
        <w:rPr>
          <w:rStyle w:val="InternetLink"/>
        </w:rPr>
        <w:fldChar w:fldCharType="end"/>
      </w:r>
      <w:r>
        <w:rPr/>
        <w:t xml:space="preserve"> — accessed 2026-10-24</w:t>
      </w:r>
    </w:p>
    <w:p>
      <w:pPr>
        <w:pStyle w:val="TextBody"/>
        <w:rPr/>
      </w:pPr>
      <w:r>
        <w:rPr/>
        <w:t xml:space="preserve">[10] AGRONOMY AND COMMERCIAL PRODUCTION OF TEA | 16 | Tea | Zong-mao Chen a — www.taylorfrancis.com — </w:t>
      </w:r>
      <w:hyperlink r:id="rId4">
        <w:r>
          <w:rPr>
            <w:rStyle w:val="InternetLink"/>
          </w:rPr>
          <w:t>https://www.taylorfrancis.com/chapters/edit/10.1201/b12659-16/agronomy-commercial-production-tea-zong-mao-chen-ning-xu?context=ubx&amp;refId=9bd1e539-5ac1-408c-a6ce-5cd8f7cc4fc2</w:t>
        </w:r>
      </w:hyperlink>
      <w:r>
        <w:rPr/>
        <w:t xml:space="preserve"> — accessed 2026-10-24</w:t>
      </w:r>
    </w:p>
    <w:p>
      <w:pPr>
        <w:pStyle w:val="TextBody"/>
        <w:rPr/>
      </w:pPr>
      <w:r>
        <w:rPr/>
        <w:t xml:space="preserve">[11] How Important the Tea Was in Ancient China? - How Important the Tea Was in Ancient China? — en.cccweb.org — </w:t>
      </w:r>
      <w:r>
        <w:fldChar w:fldCharType="begin"/>
      </w:r>
      <w:r>
        <w:rPr>
          <w:rStyle w:val="InternetLink"/>
        </w:rPr>
        <w:instrText xml:space="preserve"> HYPERLINK "http://en.cccweb.org/focus/2013-06/04/content_461822.htm" \l "1"</w:instrText>
      </w:r>
      <w:r>
        <w:rPr>
          <w:rStyle w:val="InternetLink"/>
        </w:rPr>
        <w:fldChar w:fldCharType="separate"/>
      </w:r>
      <w:r>
        <w:rPr>
          <w:rStyle w:val="InternetLink"/>
        </w:rPr>
        <w:t>http://en.cccweb.org/focus/2013-06/04/content_461822.htm#1</w:t>
      </w:r>
      <w:r>
        <w:rPr>
          <w:rStyle w:val="InternetLink"/>
        </w:rPr>
        <w:fldChar w:fldCharType="end"/>
      </w:r>
      <w:r>
        <w:rPr/>
        <w:t xml:space="preserve"> — accessed 2026-10-24</w:t>
      </w:r>
    </w:p>
    <w:p>
      <w:pPr>
        <w:pStyle w:val="TextBody"/>
        <w:rPr/>
      </w:pPr>
      <w:r>
        <w:rPr/>
        <w:t xml:space="preserve">[12] Tea in China : the history of China’s national drink | WorldCat.org — search.worldcat.org — </w:t>
      </w:r>
      <w:hyperlink r:id="rId5">
        <w:r>
          <w:rPr>
            <w:rStyle w:val="InternetLink"/>
          </w:rPr>
          <w:t>https://search.worldcat.org/zh-cn/title/906581170?lang=it</w:t>
        </w:r>
      </w:hyperlink>
      <w:r>
        <w:rPr/>
        <w:t xml:space="preserve"> — accessed 2026-10-24</w:t>
      </w:r>
    </w:p>
    <w:p>
      <w:pPr>
        <w:pStyle w:val="TextBody"/>
        <w:rPr/>
      </w:pPr>
      <w:r>
        <w:rPr/>
        <w:t xml:space="preserve">[13] China - Global Tea Producer — www.ctma.com.cn — </w:t>
      </w:r>
      <w:hyperlink r:id="rId6">
        <w:r>
          <w:rPr>
            <w:rStyle w:val="InternetLink"/>
          </w:rPr>
          <w:t>https://www.ctma.com.cn/guojizixun/41837.html</w:t>
        </w:r>
      </w:hyperlink>
      <w:r>
        <w:rPr/>
        <w:t xml:space="preserve"> — accessed 2026-10-24</w:t>
      </w:r>
    </w:p>
    <w:p>
      <w:pPr>
        <w:pStyle w:val="TextBody"/>
        <w:rPr/>
      </w:pPr>
      <w:r>
        <w:rPr/>
        <w:t xml:space="preserve">[14] As to when the discovery was made, some scholars have searched for evidence from the etymology of Chinese characters and some fr... — www.archive.org — </w:t>
      </w:r>
      <w:r>
        <w:fldChar w:fldCharType="begin"/>
      </w:r>
      <w:r>
        <w:rPr>
          <w:rStyle w:val="InternetLink"/>
        </w:rPr>
        <w:instrText xml:space="preserve"> HYPERLINK "https://www.archive.org/download/dli.calcutta.03555/H02458.pdf" \l "8%2357%238"</w:instrText>
      </w:r>
      <w:r>
        <w:rPr>
          <w:rStyle w:val="InternetLink"/>
        </w:rPr>
        <w:fldChar w:fldCharType="separate"/>
      </w:r>
      <w:r>
        <w:rPr>
          <w:rStyle w:val="InternetLink"/>
        </w:rPr>
        <w:t>https://www.archive.org/download/dli.calcutta.03555/H02458.pdf#8%2357%238</w:t>
      </w:r>
      <w:r>
        <w:rPr>
          <w:rStyle w:val="InternetLink"/>
        </w:rPr>
        <w:fldChar w:fldCharType="end"/>
      </w:r>
      <w:r>
        <w:rPr/>
        <w:t xml:space="preserve"> — accessed 2026-10-24</w:t>
      </w:r>
    </w:p>
    <w:p>
      <w:pPr>
        <w:pStyle w:val="TextBody"/>
        <w:rPr/>
      </w:pPr>
      <w:r>
        <w:rPr/>
        <w:t xml:space="preserve">[15] The Evolution of Chinese Tea Culture - The Evolution of Chinese Tea Culture — www.sothebys.com — </w:t>
      </w:r>
      <w:r>
        <w:fldChar w:fldCharType="begin"/>
      </w:r>
      <w:r>
        <w:rPr>
          <w:rStyle w:val="InternetLink"/>
        </w:rPr>
        <w:instrText xml:space="preserve"> HYPERLINK "https://www.sothebys.com/en/articles/the-evolution-of-chinese-tea-culture?locale=en" \l "1"</w:instrText>
      </w:r>
      <w:r>
        <w:rPr>
          <w:rStyle w:val="InternetLink"/>
        </w:rPr>
        <w:fldChar w:fldCharType="separate"/>
      </w:r>
      <w:r>
        <w:rPr>
          <w:rStyle w:val="InternetLink"/>
        </w:rPr>
        <w:t>https://www.sothebys.com/en/articles/the-evolution-of-chinese-tea-culture?locale=en#1</w:t>
      </w:r>
      <w:r>
        <w:rPr>
          <w:rStyle w:val="InternetLink"/>
        </w:rPr>
        <w:fldChar w:fldCharType="end"/>
      </w:r>
      <w:r>
        <w:rPr/>
        <w:t xml:space="preserve"> — accessed 2026-10-24</w:t>
      </w:r>
    </w:p>
    <w:p>
      <w:pPr>
        <w:pStyle w:val="TextBody"/>
        <w:rPr/>
      </w:pPr>
      <w:r>
        <w:rPr/>
        <w:t xml:space="preserve">[17] Chapter 3 Tea Arrives in Japan and Korea — brill.com — </w:t>
      </w:r>
      <w:r>
        <w:fldChar w:fldCharType="begin"/>
      </w:r>
      <w:r>
        <w:rPr>
          <w:rStyle w:val="InternetLink"/>
        </w:rPr>
        <w:instrText xml:space="preserve"> HYPERLINK "https://brill.com/display/book/9789004393608/BP000003.xml?result=114&amp;rskey=dIm6CC" \l "1%231"</w:instrText>
      </w:r>
      <w:r>
        <w:rPr>
          <w:rStyle w:val="InternetLink"/>
        </w:rPr>
        <w:fldChar w:fldCharType="separate"/>
      </w:r>
      <w:r>
        <w:rPr>
          <w:rStyle w:val="InternetLink"/>
        </w:rPr>
        <w:t>https://brill.com/display/book/9789004393608/BP000003.xml?result=114&amp;rskey=dIm6CC#1%231</w:t>
      </w:r>
      <w:r>
        <w:rPr>
          <w:rStyle w:val="InternetLink"/>
        </w:rPr>
        <w:fldChar w:fldCharType="end"/>
      </w:r>
      <w:r>
        <w:rPr/>
        <w:t xml:space="preserve"> — accessed 2026-10-24</w:t>
      </w:r>
    </w:p>
    <w:p>
      <w:pPr>
        <w:pStyle w:val="TextBody"/>
        <w:rPr/>
      </w:pPr>
      <w:r>
        <w:rPr/>
        <w:t xml:space="preserve">[20] </w:t>
      </w:r>
      <w:r>
        <w:rPr/>
        <w:t xml:space="preserve">论宋代茶文化的历史贡献和当代价值 </w:t>
      </w:r>
      <w:r>
        <w:rPr/>
        <w:t xml:space="preserve">- </w:t>
      </w:r>
      <w:r>
        <w:rPr/>
        <w:t xml:space="preserve">茶文化向日本的传播从唐代已经开始 — </w:t>
      </w:r>
      <w:r>
        <w:rPr/>
        <w:t xml:space="preserve">hrczh.cass.cn — </w:t>
      </w:r>
      <w:r>
        <w:fldChar w:fldCharType="begin"/>
      </w:r>
      <w:r>
        <w:rPr>
          <w:rStyle w:val="InternetLink"/>
        </w:rPr>
        <w:instrText xml:space="preserve"> HYPERLINK "http://hrczh.cass.cn/sxqy/zgs/202502/t20250228_5854084.shtml" \l "3"</w:instrText>
      </w:r>
      <w:r>
        <w:rPr>
          <w:rStyle w:val="InternetLink"/>
        </w:rPr>
        <w:fldChar w:fldCharType="separate"/>
      </w:r>
      <w:r>
        <w:rPr>
          <w:rStyle w:val="InternetLink"/>
        </w:rPr>
        <w:t>http://hrczh.cass.cn/sxqy/zgs/202502/t20250228_5854084.shtml#3</w:t>
      </w:r>
      <w:r>
        <w:rPr>
          <w:rStyle w:val="InternetLink"/>
        </w:rPr>
        <w:fldChar w:fldCharType="end"/>
      </w:r>
      <w:r>
        <w:rPr/>
        <w:t xml:space="preserve"> — accessed 2026-10-24</w:t>
      </w:r>
    </w:p>
    <w:p>
      <w:pPr>
        <w:pStyle w:val="TextBody"/>
        <w:rPr/>
      </w:pPr>
      <w:r>
        <w:rPr/>
        <w:t xml:space="preserve">[24] 46) Feng Yan </w:t>
      </w:r>
      <w:r>
        <w:rPr/>
        <w:t xml:space="preserve">封演 </w:t>
      </w:r>
      <w:r>
        <w:rPr/>
        <w:t xml:space="preserve">ed — core.ac.uk — </w:t>
      </w:r>
      <w:r>
        <w:fldChar w:fldCharType="begin"/>
      </w:r>
      <w:r>
        <w:rPr>
          <w:rStyle w:val="InternetLink"/>
        </w:rPr>
        <w:instrText xml:space="preserve"> HYPERLINK "https://core.ac.uk/download/228675052.pdf" \l "4%236%234"</w:instrText>
      </w:r>
      <w:r>
        <w:rPr>
          <w:rStyle w:val="InternetLink"/>
        </w:rPr>
        <w:fldChar w:fldCharType="separate"/>
      </w:r>
      <w:r>
        <w:rPr>
          <w:rStyle w:val="InternetLink"/>
        </w:rPr>
        <w:t>https://core.ac.uk/download/228675052.pdf#4%236%234</w:t>
      </w:r>
      <w:r>
        <w:rPr>
          <w:rStyle w:val="InternetLink"/>
        </w:rPr>
        <w:fldChar w:fldCharType="end"/>
      </w:r>
      <w:r>
        <w:rPr/>
        <w:t xml:space="preserve"> — accessed 2026-10-24</w:t>
      </w:r>
    </w:p>
    <w:p>
      <w:pPr>
        <w:pStyle w:val="TextBody"/>
        <w:rPr/>
      </w:pPr>
      <w:r>
        <w:rPr/>
        <w:t xml:space="preserve">[25] Tea, Silver, Opium and War: From Commercial Expansion to Military Invasion | Itinerario | Cambridge Core — www.cambridge.org — </w:t>
      </w:r>
      <w:r>
        <w:fldChar w:fldCharType="begin"/>
      </w:r>
      <w:r>
        <w:rPr>
          <w:rStyle w:val="InternetLink"/>
        </w:rPr>
        <w:instrText xml:space="preserve"> HYPERLINK "https://www.cambridge.org/core/journals/itinerario/article/abs/tea-silver-opium-and-war-from-commercial-expansion-to-military-invasion/485118C39E10C5730EE44147C8C24755" \l "1"</w:instrText>
      </w:r>
      <w:r>
        <w:rPr>
          <w:rStyle w:val="InternetLink"/>
        </w:rPr>
        <w:fldChar w:fldCharType="separate"/>
      </w:r>
      <w:r>
        <w:rPr>
          <w:rStyle w:val="InternetLink"/>
        </w:rPr>
        <w:t>https://www.cambridge.org/core/journals/itinerario/article/abs/tea-silver-opium-and-war-from-commercial-expansion-to-military-invasion/485118C39E10C5730EE44147C8C24755#1</w:t>
      </w:r>
      <w:r>
        <w:rPr>
          <w:rStyle w:val="InternetLink"/>
        </w:rPr>
        <w:fldChar w:fldCharType="end"/>
      </w:r>
      <w:r>
        <w:rPr/>
        <w:t xml:space="preserve"> — accessed 2026-10-24</w:t>
      </w:r>
    </w:p>
    <w:p>
      <w:pPr>
        <w:pStyle w:val="TextBody"/>
        <w:rPr/>
      </w:pPr>
      <w:r>
        <w:rPr/>
        <w:t xml:space="preserve">[26] History KS3 / GCSE: The First Opium War, 1838-1842 — www.bbc.co.uk — </w:t>
      </w:r>
      <w:hyperlink r:id="rId7">
        <w:r>
          <w:rPr>
            <w:rStyle w:val="InternetLink"/>
          </w:rPr>
          <w:t>https://www.bbc.co.uk/teach/class-clips-video/articles/zbffjhv</w:t>
        </w:r>
      </w:hyperlink>
      <w:r>
        <w:rPr/>
        <w:t xml:space="preserve"> — accessed 2026-10-24</w:t>
      </w:r>
    </w:p>
    <w:p>
      <w:pPr>
        <w:pStyle w:val="TextBody"/>
        <w:rPr/>
      </w:pPr>
      <w:r>
        <w:rPr/>
        <w:t xml:space="preserve">[27] Opium wars — www.kew.org — </w:t>
      </w:r>
      <w:r>
        <w:fldChar w:fldCharType="begin"/>
      </w:r>
      <w:r>
        <w:rPr>
          <w:rStyle w:val="InternetLink"/>
        </w:rPr>
        <w:instrText xml:space="preserve"> HYPERLINK "https://www.kew.org/read-and-watch/opium-wars" \l "1"</w:instrText>
      </w:r>
      <w:r>
        <w:rPr>
          <w:rStyle w:val="InternetLink"/>
        </w:rPr>
        <w:fldChar w:fldCharType="separate"/>
      </w:r>
      <w:r>
        <w:rPr>
          <w:rStyle w:val="InternetLink"/>
        </w:rPr>
        <w:t>https://www.kew.org/read-and-watch/opium-wars#1</w:t>
      </w:r>
      <w:r>
        <w:rPr>
          <w:rStyle w:val="InternetLink"/>
        </w:rPr>
        <w:fldChar w:fldCharType="end"/>
      </w:r>
      <w:r>
        <w:rPr/>
        <w:t xml:space="preserve"> — accessed 2026-10-24</w:t>
      </w:r>
    </w:p>
    <w:p>
      <w:pPr>
        <w:pStyle w:val="TextBody"/>
        <w:rPr/>
      </w:pPr>
      <w:r>
        <w:rPr/>
        <w:t xml:space="preserve">[28] Sahlins puts the emphasis on cosmology, Hevia puts the emphasis on ritual (li), but, as both authors would probably agree, these... — pure.mpg.de — </w:t>
      </w:r>
      <w:r>
        <w:fldChar w:fldCharType="begin"/>
      </w:r>
      <w:r>
        <w:rPr>
          <w:rStyle w:val="InternetLink"/>
        </w:rPr>
        <w:instrText xml:space="preserve"> HYPERLINK "https://pure.mpg.de/rest/items/item_2077710_4/component/file_2095515/content" \l "2%232%232"</w:instrText>
      </w:r>
      <w:r>
        <w:rPr>
          <w:rStyle w:val="InternetLink"/>
        </w:rPr>
        <w:fldChar w:fldCharType="separate"/>
      </w:r>
      <w:r>
        <w:rPr>
          <w:rStyle w:val="InternetLink"/>
        </w:rPr>
        <w:t>https://pure.mpg.de/rest/items/item_2077710_4/component/file_2095515/content#2%232%232</w:t>
      </w:r>
      <w:r>
        <w:rPr>
          <w:rStyle w:val="InternetLink"/>
        </w:rPr>
        <w:fldChar w:fldCharType="end"/>
      </w:r>
      <w:r>
        <w:rPr/>
        <w:t xml:space="preserve"> — accessed 2026-10-24</w:t>
      </w:r>
    </w:p>
    <w:p>
      <w:pPr>
        <w:pStyle w:val="TextBody"/>
        <w:rPr/>
      </w:pPr>
      <w:r>
        <w:rPr/>
        <w:t xml:space="preserve">[29] Todo el té en China: el impacto político del té (fotos)_Spanish.china.org.cn — spanish.china.org.cn — </w:t>
      </w:r>
      <w:hyperlink r:id="rId8">
        <w:r>
          <w:rPr>
            <w:rStyle w:val="InternetLink"/>
          </w:rPr>
          <w:t>http://spanish.china.org.cn/culture/txt/2007-11/14/content_9225159_4.htm</w:t>
        </w:r>
      </w:hyperlink>
      <w:r>
        <w:rPr/>
        <w:t xml:space="preserve"> — accessed 2026-10-24</w:t>
      </w:r>
    </w:p>
    <w:p>
      <w:pPr>
        <w:pStyle w:val="TextBody"/>
        <w:rPr/>
      </w:pPr>
      <w:r>
        <w:rPr/>
        <w:t xml:space="preserve">[30] The China tea trade was a paradox of global capitalism | Aeon Essays — aeon.co — </w:t>
      </w:r>
      <w:hyperlink r:id="rId9">
        <w:r>
          <w:rPr>
            <w:rStyle w:val="InternetLink"/>
          </w:rPr>
          <w:t>https://aeon.co/essays/the-china-tea-trade-was-a-paradox-of-global-capitalism?amp;utm_source=rss-feed&amp;utm_medium=feed</w:t>
        </w:r>
      </w:hyperlink>
      <w:r>
        <w:rPr/>
        <w:t xml:space="preserve"> — accessed 2026-10-24</w:t>
      </w:r>
    </w:p>
    <w:p>
      <w:pPr>
        <w:pStyle w:val="TextBody"/>
        <w:rPr/>
      </w:pPr>
      <w:r>
        <w:rPr/>
        <w:t xml:space="preserve">[31] BBC Radio 4 - Empire of Tea, 4. The Tea Wars — www.bbc.co.uk — </w:t>
      </w:r>
      <w:hyperlink r:id="rId10">
        <w:r>
          <w:rPr>
            <w:rStyle w:val="InternetLink"/>
          </w:rPr>
          <w:t>https://www.bbc.co.uk/programmes/m001t321</w:t>
        </w:r>
      </w:hyperlink>
      <w:r>
        <w:rPr/>
        <w:t xml:space="preserve"> — accessed 2026-10-24</w:t>
      </w:r>
    </w:p>
    <w:p>
      <w:pPr>
        <w:pStyle w:val="TextBody"/>
        <w:rPr/>
      </w:pPr>
      <w:r>
        <w:rPr/>
        <w:t xml:space="preserve">[33] THE NORTHERN TEA ROAD AND THE STUDY OF ITS HISTORY — zenodo.org — </w:t>
      </w:r>
      <w:hyperlink r:id="rId11">
        <w:r>
          <w:rPr>
            <w:rStyle w:val="InternetLink"/>
          </w:rPr>
          <w:t>https://zenodo.org/records/7219681</w:t>
        </w:r>
      </w:hyperlink>
      <w:r>
        <w:rPr/>
        <w:t xml:space="preserve"> — accessed 2026-10-24</w:t>
      </w:r>
    </w:p>
    <w:p>
      <w:pPr>
        <w:pStyle w:val="TextBody"/>
        <w:rPr/>
      </w:pPr>
      <w:r>
        <w:rPr/>
        <w:t xml:space="preserve">[34] </w:t>
      </w:r>
      <w:r>
        <w:rPr/>
        <w:t xml:space="preserve">러시아는 이른바 ‘티로드’라고 불리는 길을 통해 중국으로부터 차를 수입했 다 — </w:t>
      </w:r>
      <w:r>
        <w:rPr/>
        <w:t xml:space="preserve">eebi.ac.kr — </w:t>
      </w:r>
      <w:r>
        <w:fldChar w:fldCharType="begin"/>
      </w:r>
      <w:r>
        <w:rPr>
          <w:rStyle w:val="InternetLink"/>
        </w:rPr>
        <w:instrText xml:space="preserve"> HYPERLINK "http://eebi.ac.kr/_lib/download.asp?downfile=2.인문학-김용환_(동유럽발칸연구_45권_1호).pdf&amp;path=board" \l "2%235%232"</w:instrText>
      </w:r>
      <w:r>
        <w:rPr>
          <w:rStyle w:val="InternetLink"/>
        </w:rPr>
        <w:fldChar w:fldCharType="separate"/>
      </w:r>
      <w:r>
        <w:rPr>
          <w:rStyle w:val="InternetLink"/>
        </w:rPr>
        <w:t>http://eebi.ac.kr/_lib/download.asp?downfile=2%2E%EC%9D%B8%EB%AC%B8%ED%95%99%2D%EA%B9%80%EC%9A%A9%ED%99%98%5F%28%EB%8F%99%EC%9C%A0%EB%9F%BD%EB%B0%9C%EC%B9%B8%EC%97%B0%EA%B5%AC%5F45%EA%B6%8C%5F1%ED%98%B8%29%2Epdf&amp;path=board#2%235%232</w:t>
      </w:r>
      <w:r>
        <w:rPr>
          <w:rStyle w:val="InternetLink"/>
        </w:rPr>
        <w:fldChar w:fldCharType="end"/>
      </w:r>
      <w:r>
        <w:rPr/>
        <w:t xml:space="preserve"> — accessed 2026-10-24</w:t>
      </w:r>
    </w:p>
    <w:p>
      <w:pPr>
        <w:pStyle w:val="TextBody"/>
        <w:rPr/>
      </w:pPr>
      <w:r>
        <w:rPr/>
        <w:t xml:space="preserve">[35] Search Results | Oxford Research Encyclopedia of Asian History — oxfordre.com — </w:t>
      </w:r>
      <w:hyperlink r:id="rId12">
        <w:r>
          <w:rPr>
            <w:rStyle w:val="InternetLink"/>
          </w:rPr>
          <w:t>https://oxfordre.com/asianhistory/search?btog=chap&amp;f_0=keyword&amp;q_0=Sino-Russian+trade</w:t>
        </w:r>
      </w:hyperlink>
      <w:r>
        <w:rPr/>
        <w:t xml:space="preserve"> — accessed 2026-10-24</w:t>
      </w:r>
    </w:p>
    <w:p>
      <w:pPr>
        <w:pStyle w:val="TextBody"/>
        <w:rPr/>
      </w:pPr>
      <w:r>
        <w:rPr/>
        <w:t xml:space="preserve">[38] </w:t>
      </w:r>
      <w:r>
        <w:rPr/>
        <w:t xml:space="preserve">茶叶之路 — </w:t>
      </w:r>
      <w:r>
        <w:rPr/>
        <w:t xml:space="preserve">www.dpm.org.cn — </w:t>
      </w:r>
      <w:hyperlink r:id="rId13">
        <w:r>
          <w:rPr>
            <w:rStyle w:val="InternetLink"/>
          </w:rPr>
          <w:t>https://www.dpm.org.cn/subject_tea/single/detail/260820.html</w:t>
        </w:r>
      </w:hyperlink>
      <w:r>
        <w:rPr/>
        <w:t xml:space="preserve"> — accessed 2026-10-24</w:t>
      </w:r>
    </w:p>
    <w:p>
      <w:pPr>
        <w:pStyle w:val="TextBody"/>
        <w:rPr/>
      </w:pPr>
      <w:r>
        <w:rPr/>
        <w:t xml:space="preserve">[39] Ancient tea road to be revived — www.chinadaily.com.cn — </w:t>
      </w:r>
      <w:hyperlink r:id="rId14">
        <w:r>
          <w:rPr>
            <w:rStyle w:val="InternetLink"/>
          </w:rPr>
          <w:t>http://www.chinadaily.com.cn/cndy/2017-05/20/content_29425923.htm</w:t>
        </w:r>
      </w:hyperlink>
      <w:r>
        <w:rPr/>
        <w:t xml:space="preserve"> — accessed 2026-10-24</w:t>
      </w:r>
    </w:p>
    <w:p>
      <w:pPr>
        <w:pStyle w:val="TextBody"/>
        <w:rPr/>
      </w:pPr>
      <w:r>
        <w:rPr/>
        <w:t xml:space="preserve">[40] Details for The Tea Road : China and Russia meet across the Steppe / — library.thebeijingcenter.org — </w:t>
      </w:r>
      <w:hyperlink r:id="rId15">
        <w:r>
          <w:rPr>
            <w:rStyle w:val="InternetLink"/>
          </w:rPr>
          <w:t>https://library.thebeijingcenter.org/cgi-bin/koha/opac-detail.pl?biblionumber=8595</w:t>
        </w:r>
      </w:hyperlink>
      <w:r>
        <w:rPr/>
        <w:t xml:space="preserve"> — accessed 2026-10-24</w:t>
      </w:r>
    </w:p>
    <w:p>
      <w:pPr>
        <w:pStyle w:val="TextBody"/>
        <w:rPr/>
      </w:pPr>
      <w:r>
        <w:rPr/>
        <w:t xml:space="preserve">[41] Earliest tea as evidence for one branch of the Silk Road across the Tibetan Plateau. - UCL Discovery — discovery.ucl.ac.uk — </w:t>
      </w:r>
      <w:r>
        <w:fldChar w:fldCharType="begin"/>
      </w:r>
      <w:r>
        <w:rPr>
          <w:rStyle w:val="InternetLink"/>
        </w:rPr>
        <w:instrText xml:space="preserve"> HYPERLINK "https://discovery.ucl.ac.uk/id/eprint/1475206/" \l "1"</w:instrText>
      </w:r>
      <w:r>
        <w:rPr>
          <w:rStyle w:val="InternetLink"/>
        </w:rPr>
        <w:fldChar w:fldCharType="separate"/>
      </w:r>
      <w:r>
        <w:rPr>
          <w:rStyle w:val="InternetLink"/>
        </w:rPr>
        <w:t>https://discovery.ucl.ac.uk/id/eprint/1475206/#1</w:t>
      </w:r>
      <w:r>
        <w:rPr>
          <w:rStyle w:val="InternetLink"/>
        </w:rPr>
        <w:fldChar w:fldCharType="end"/>
      </w:r>
      <w:r>
        <w:rPr/>
        <w:t xml:space="preserve"> — accessed 2026-10-24</w:t>
      </w:r>
    </w:p>
    <w:p>
      <w:pPr>
        <w:pStyle w:val="TextBody"/>
        <w:rPr/>
      </w:pPr>
      <w:r>
        <w:rPr/>
        <w:t xml:space="preserve">[43] China Focus: World’s oldest tea goes on display in NW China museum — chinagate.cn — </w:t>
      </w:r>
      <w:hyperlink r:id="rId16">
        <w:r>
          <w:rPr>
            <w:rStyle w:val="InternetLink"/>
          </w:rPr>
          <w:t>http://chinagate.cn/2016-05/13/content_38450060.htm</w:t>
        </w:r>
      </w:hyperlink>
      <w:r>
        <w:rPr/>
        <w:t xml:space="preserve"> — accessed 2026-10-24</w:t>
      </w:r>
    </w:p>
    <w:p>
      <w:pPr>
        <w:pStyle w:val="TextBody"/>
        <w:rPr/>
      </w:pPr>
      <w:r>
        <w:rPr/>
        <w:t xml:space="preserve">[44] </w:t>
      </w:r>
      <w:r>
        <w:rPr/>
        <w:t>山东大学考古团队发现世界最早茶叶遗存</w:t>
      </w:r>
      <w:r>
        <w:rPr/>
        <w:t>_</w:t>
      </w:r>
      <w:r>
        <w:rPr/>
        <w:t>文化中国</w:t>
      </w:r>
      <w:r>
        <w:rPr/>
        <w:t>_</w:t>
      </w:r>
      <w:r>
        <w:rPr/>
        <w:t xml:space="preserve">中国青年网 — </w:t>
      </w:r>
      <w:r>
        <w:rPr/>
        <w:t xml:space="preserve">wenhua.youth.cn — </w:t>
      </w:r>
      <w:hyperlink r:id="rId17">
        <w:r>
          <w:rPr>
            <w:rStyle w:val="InternetLink"/>
          </w:rPr>
          <w:t>http://wenhua.youth.cn/whyw/202111/t20211126_13327091.htm</w:t>
        </w:r>
      </w:hyperlink>
      <w:r>
        <w:rPr/>
        <w:t xml:space="preserve"> — accessed 2026-10-24</w:t>
      </w:r>
    </w:p>
    <w:p>
      <w:pPr>
        <w:pStyle w:val="TextBody"/>
        <w:rPr/>
      </w:pPr>
      <w:r>
        <w:rPr/>
        <w:t xml:space="preserve">[46] World’s oldest tea on display in NW China - World’s oldest tea on display in NW China — www.chinadaily.com.cn — </w:t>
      </w:r>
      <w:r>
        <w:fldChar w:fldCharType="begin"/>
      </w:r>
      <w:r>
        <w:rPr>
          <w:rStyle w:val="InternetLink"/>
        </w:rPr>
        <w:instrText xml:space="preserve"> HYPERLINK "http://www.chinadaily.com.cn/food/2016-05/16/content_25294318.htm" \l "1"</w:instrText>
      </w:r>
      <w:r>
        <w:rPr>
          <w:rStyle w:val="InternetLink"/>
        </w:rPr>
        <w:fldChar w:fldCharType="separate"/>
      </w:r>
      <w:r>
        <w:rPr>
          <w:rStyle w:val="InternetLink"/>
        </w:rPr>
        <w:t>http://www.chinadaily.com.cn/food/2016-05/16/content_25294318.htm#1</w:t>
      </w:r>
      <w:r>
        <w:rPr>
          <w:rStyle w:val="InternetLink"/>
        </w:rPr>
        <w:fldChar w:fldCharType="end"/>
      </w:r>
      <w:r>
        <w:rPr/>
        <w:t xml:space="preserve"> — accessed 2026-10-24</w:t>
      </w:r>
    </w:p>
    <w:p>
      <w:pPr>
        <w:pStyle w:val="TextBody"/>
        <w:rPr/>
      </w:pPr>
      <w:r>
        <w:rPr/>
        <w:t xml:space="preserve">[48] Odyssey of a leaf: Snapshots of tea’s history — epaper.chinadaily.com.cn — </w:t>
      </w:r>
      <w:hyperlink r:id="rId18">
        <w:r>
          <w:rPr>
            <w:rStyle w:val="InternetLink"/>
          </w:rPr>
          <w:t>https://epaper.chinadaily.com.cn/a/202007/21/WS5f163a3fa3107831ec753a57.html</w:t>
        </w:r>
      </w:hyperlink>
      <w:r>
        <w:rPr/>
        <w:t xml:space="preserve"> — accessed 2026-10-24</w:t>
      </w:r>
    </w:p>
    <w:p>
      <w:pPr>
        <w:pStyle w:val="TextBody"/>
        <w:rPr/>
      </w:pPr>
      <w:r>
        <w:rPr/>
        <w:t xml:space="preserve">[49] Cha before tea: finding earlier mentions in a corpus of early English letters (part 1) — www.oed.com — </w:t>
      </w:r>
      <w:hyperlink r:id="rId19">
        <w:r>
          <w:rPr>
            <w:rStyle w:val="InternetLink"/>
          </w:rPr>
          <w:t>https://www.oed.com/information/using-the-oed/academic-case-studies/the-oed-and-research/cha-before-tea-finding-earlier-mentions-in-a-corpus-of-early-english-letters-part-1?tl=true</w:t>
        </w:r>
      </w:hyperlink>
      <w:r>
        <w:rPr/>
        <w:t xml:space="preserve"> — accessed 2026-10-24</w:t>
      </w:r>
    </w:p>
    <w:p>
      <w:pPr>
        <w:pStyle w:val="TextBody"/>
        <w:rPr/>
      </w:pPr>
      <w:r>
        <w:rPr/>
        <w:t xml:space="preserve">[53] tea: a journey — epe.lac-bac.gc.ca — </w:t>
      </w:r>
      <w:hyperlink r:id="rId20">
        <w:r>
          <w:rPr>
            <w:rStyle w:val="InternetLink"/>
          </w:rPr>
          <w:t>https://epe.lac-bac.gc.ca/100/205/301/ic/cdc/teajourney/journey.asp@Sec=5?nodisclaimer=1</w:t>
        </w:r>
      </w:hyperlink>
      <w:r>
        <w:rPr/>
        <w:t xml:space="preserve"> — accessed 2026-10-24</w:t>
      </w:r>
    </w:p>
    <w:p>
      <w:pPr>
        <w:pStyle w:val="TextBody"/>
        <w:rPr/>
      </w:pPr>
      <w:r>
        <w:rPr/>
        <w:t xml:space="preserve">[56] This is an archived page. — archive.nytimes.com — </w:t>
      </w:r>
      <w:hyperlink r:id="rId21">
        <w:r>
          <w:rPr>
            <w:rStyle w:val="InternetLink"/>
          </w:rPr>
          <w:t>https://archive.nytimes.com/www.nytimes.com/library/magazine/millennium/m4/lachappelle.html</w:t>
        </w:r>
      </w:hyperlink>
      <w:r>
        <w:rPr/>
        <w:t xml:space="preserve"> — accessed 2026-10-24</w:t>
      </w:r>
    </w:p>
    <w:p>
      <w:pPr>
        <w:pStyle w:val="TextBody"/>
        <w:rPr/>
      </w:pPr>
      <w:r>
        <w:rPr/>
        <w:t xml:space="preserve">[61] Portuguese smuggled the Camellia plants and some trained specialists out of China and — openlibrary-repo.ecampusontario.ca — </w:t>
      </w:r>
      <w:r>
        <w:fldChar w:fldCharType="begin"/>
      </w:r>
      <w:r>
        <w:rPr>
          <w:rStyle w:val="InternetLink"/>
        </w:rPr>
        <w:instrText xml:space="preserve"> HYPERLINK "https://openlibrary-repo.ecampusontario.ca/jspui/bitstream/123456789/925/3/History-and-Science-of-Cultivated-Plants-1623770780.pdf" \l "8%2320%238"</w:instrText>
      </w:r>
      <w:r>
        <w:rPr>
          <w:rStyle w:val="InternetLink"/>
        </w:rPr>
        <w:fldChar w:fldCharType="separate"/>
      </w:r>
      <w:r>
        <w:rPr>
          <w:rStyle w:val="InternetLink"/>
        </w:rPr>
        <w:t>https://openlibrary-repo.ecampusontario.ca/jspui/bitstream/123456789/925/3/History-and-Science-of-Cultivated-Plants-1623770780.pdf#8%2320%238</w:t>
      </w:r>
      <w:r>
        <w:rPr>
          <w:rStyle w:val="InternetLink"/>
        </w:rPr>
        <w:fldChar w:fldCharType="end"/>
      </w:r>
      <w:r>
        <w:rPr/>
        <w:t xml:space="preserve"> — accessed 2026-10-24</w:t>
      </w:r>
    </w:p>
    <w:p>
      <w:pPr>
        <w:pStyle w:val="TextBody"/>
        <w:rPr/>
      </w:pPr>
      <w:r>
        <w:rPr/>
        <w:t xml:space="preserve">[64] </w:t>
      </w:r>
      <w:r>
        <w:rPr/>
        <w:t>中国茶与茶具——欧洲的视角 ——第</w:t>
      </w:r>
      <w:r>
        <w:rPr/>
        <w:t>27</w:t>
      </w:r>
      <w:r>
        <w:rPr/>
        <w:t>场哲学家茶座文字整理（</w:t>
      </w:r>
      <w:r>
        <w:rPr/>
        <w:t>2</w:t>
      </w:r>
      <w:r>
        <w:rPr/>
        <w:t xml:space="preserve">） — </w:t>
      </w:r>
      <w:r>
        <w:rPr/>
        <w:t xml:space="preserve">mp.weixin.qq.com — </w:t>
      </w:r>
      <w:hyperlink r:id="rId22">
        <w:r>
          <w:rPr>
            <w:rStyle w:val="InternetLink"/>
          </w:rPr>
          <w:t>http://mp.weixin.qq.com/s?__biz=MzIzNjQ4OTMwOA==&amp;mid=2247503679&amp;idx=1&amp;sn=87960d349f9f4439b0fe395b8c4b1470</w:t>
        </w:r>
      </w:hyperlink>
      <w:r>
        <w:rPr/>
        <w:t xml:space="preserve"> — accessed 2026-10-24</w:t>
      </w:r>
    </w:p>
    <w:p>
      <w:pPr>
        <w:pStyle w:val="TextBody"/>
        <w:rPr/>
      </w:pPr>
      <w:r>
        <w:rPr/>
        <w:t xml:space="preserve">[65] </w:t>
      </w:r>
      <w:r>
        <w:rPr/>
        <w:t xml:space="preserve">中国与英属印度茶学知识的交流互鉴 </w:t>
      </w:r>
      <w:r>
        <w:rPr/>
        <w:t xml:space="preserve">- </w:t>
      </w:r>
      <w:r>
        <w:rPr/>
        <w:t xml:space="preserve">中国与英属印度茶学知识的交流互鉴 — </w:t>
      </w:r>
      <w:r>
        <w:rPr/>
        <w:t xml:space="preserve">www.cssn.cn — </w:t>
      </w:r>
      <w:r>
        <w:fldChar w:fldCharType="begin"/>
      </w:r>
      <w:r>
        <w:rPr>
          <w:rStyle w:val="InternetLink"/>
        </w:rPr>
        <w:instrText xml:space="preserve"> HYPERLINK "https://www.cssn.cn/lsx/lsx_sjs/202501/t20250108_5832028.shtml" \l "1"</w:instrText>
      </w:r>
      <w:r>
        <w:rPr>
          <w:rStyle w:val="InternetLink"/>
        </w:rPr>
        <w:fldChar w:fldCharType="separate"/>
      </w:r>
      <w:r>
        <w:rPr>
          <w:rStyle w:val="InternetLink"/>
        </w:rPr>
        <w:t>https://www.cssn.cn/lsx/lsx_sjs/202501/t20250108_5832028.shtml#1</w:t>
      </w:r>
      <w:r>
        <w:rPr>
          <w:rStyle w:val="InternetLink"/>
        </w:rPr>
        <w:fldChar w:fldCharType="end"/>
      </w:r>
      <w:r>
        <w:rPr/>
        <w:t xml:space="preserve"> — accessed 2026-10-24</w:t>
      </w:r>
    </w:p>
    <w:p>
      <w:pPr>
        <w:pStyle w:val="TextBody"/>
        <w:rPr/>
      </w:pPr>
      <w:r>
        <w:rPr/>
        <w:t>[67] 19</w:t>
      </w:r>
      <w:r>
        <w:rPr/>
        <w:t xml:space="preserve">世纪的世界茶叶版图 </w:t>
      </w:r>
      <w:r>
        <w:rPr/>
        <w:t xml:space="preserve">- </w:t>
      </w:r>
      <w:r>
        <w:rPr/>
        <w:t xml:space="preserve">新京报客户端 — </w:t>
      </w:r>
      <w:r>
        <w:rPr/>
        <w:t xml:space="preserve">m.bjnews.com.cn — </w:t>
      </w:r>
      <w:r>
        <w:fldChar w:fldCharType="begin"/>
      </w:r>
      <w:r>
        <w:rPr>
          <w:rStyle w:val="InternetLink"/>
        </w:rPr>
        <w:instrText xml:space="preserve"> HYPERLINK "http://m.bjnews.com.cn/detail/174821549919646.html" \l "1"</w:instrText>
      </w:r>
      <w:r>
        <w:rPr>
          <w:rStyle w:val="InternetLink"/>
        </w:rPr>
        <w:fldChar w:fldCharType="separate"/>
      </w:r>
      <w:r>
        <w:rPr>
          <w:rStyle w:val="InternetLink"/>
        </w:rPr>
        <w:t>http://m.bjnews.com.cn/detail/174821549919646.html#1</w:t>
      </w:r>
      <w:r>
        <w:rPr>
          <w:rStyle w:val="InternetLink"/>
        </w:rPr>
        <w:fldChar w:fldCharType="end"/>
      </w:r>
      <w:r>
        <w:rPr/>
        <w:t xml:space="preserve"> — accessed 2026-10-24</w:t>
      </w:r>
    </w:p>
    <w:p>
      <w:pPr>
        <w:pStyle w:val="TextBody"/>
        <w:rPr/>
      </w:pPr>
      <w:r>
        <w:rPr/>
        <w:t xml:space="preserve">[73] Tang Dynasty Tea Grater - Timothy S. Y. Lam Museum of Anthropology — lammuseum.wfu.edu — </w:t>
      </w:r>
      <w:hyperlink r:id="rId23">
        <w:r>
          <w:rPr>
            <w:rStyle w:val="InternetLink"/>
          </w:rPr>
          <w:t>https://lammuseum.wfu.edu/2023/06/tang-dynasty-tea-grater/</w:t>
        </w:r>
      </w:hyperlink>
      <w:r>
        <w:rPr/>
        <w:t xml:space="preserve"> — accessed 2026-10-24</w:t>
      </w:r>
    </w:p>
    <w:p>
      <w:pPr>
        <w:pStyle w:val="TextBody"/>
        <w:rPr/>
      </w:pPr>
      <w:r>
        <w:rPr/>
        <w:t xml:space="preserve">[74] Domestication origin and spread of cultivated tea plants - Biodiv Sci ›› 2018, Vol — www.biodiversity-science.net — </w:t>
      </w:r>
      <w:r>
        <w:fldChar w:fldCharType="begin"/>
      </w:r>
      <w:r>
        <w:rPr>
          <w:rStyle w:val="InternetLink"/>
        </w:rPr>
        <w:instrText xml:space="preserve"> HYPERLINK "https://www.biodiversity-science.net/EN/Y2018/V26/I4/357" \l "1"</w:instrText>
      </w:r>
      <w:r>
        <w:rPr>
          <w:rStyle w:val="InternetLink"/>
        </w:rPr>
        <w:fldChar w:fldCharType="separate"/>
      </w:r>
      <w:r>
        <w:rPr>
          <w:rStyle w:val="InternetLink"/>
        </w:rPr>
        <w:t>https://www.biodiversity-science.net/EN/Y2018/V26/I4/357#1</w:t>
      </w:r>
      <w:r>
        <w:rPr>
          <w:rStyle w:val="InternetLink"/>
        </w:rPr>
        <w:fldChar w:fldCharType="end"/>
      </w:r>
      <w:r>
        <w:rPr/>
        <w:t xml:space="preserve"> — accessed 2026-10-24</w:t>
      </w:r>
    </w:p>
    <w:p>
      <w:pPr>
        <w:pStyle w:val="TextBody"/>
        <w:rPr/>
      </w:pPr>
      <w:r>
        <w:rPr/>
        <w:t xml:space="preserve">[79] From the Wild to the Cup: Tracking Footprints of the Tea Species in Time and Space - As a library, NLM provides access to scientific literature — pmc.ncbi.nlm.nih.gov — </w:t>
      </w:r>
      <w:r>
        <w:fldChar w:fldCharType="begin"/>
      </w:r>
      <w:r>
        <w:rPr>
          <w:rStyle w:val="InternetLink"/>
        </w:rPr>
        <w:instrText xml:space="preserve"> HYPERLINK "https://pmc.ncbi.nlm.nih.gov/articles/PMC8377202/" \l "1"</w:instrText>
      </w:r>
      <w:r>
        <w:rPr>
          <w:rStyle w:val="InternetLink"/>
        </w:rPr>
        <w:fldChar w:fldCharType="separate"/>
      </w:r>
      <w:r>
        <w:rPr>
          <w:rStyle w:val="InternetLink"/>
        </w:rPr>
        <w:t>https://pmc.ncbi.nlm.nih.gov/articles/PMC8377202/#1</w:t>
      </w:r>
      <w:r>
        <w:rPr>
          <w:rStyle w:val="InternetLink"/>
        </w:rPr>
        <w:fldChar w:fldCharType="end"/>
      </w:r>
      <w:r>
        <w:rPr/>
        <w:t xml:space="preserve"> — accessed 2026-10-24</w:t>
      </w:r>
    </w:p>
    <w:p>
      <w:pPr>
        <w:pStyle w:val="TextBody"/>
        <w:rPr/>
      </w:pPr>
      <w:r>
        <w:rPr/>
        <w:t xml:space="preserve">[80] Development of SNP Markers for Original Analysis and Germplasm Identification in Camellia sinensis - According to available documentation, China is the first country to cultivate and utilize tea plants [29] — pmc.ncbi.nlm.nih.gov — </w:t>
      </w:r>
      <w:r>
        <w:fldChar w:fldCharType="begin"/>
      </w:r>
      <w:r>
        <w:rPr>
          <w:rStyle w:val="InternetLink"/>
        </w:rPr>
        <w:instrText xml:space="preserve"> HYPERLINK "https://pmc.ncbi.nlm.nih.gov/articles/PMC9824298/?report=classic" \l "3"</w:instrText>
      </w:r>
      <w:r>
        <w:rPr>
          <w:rStyle w:val="InternetLink"/>
        </w:rPr>
        <w:fldChar w:fldCharType="separate"/>
      </w:r>
      <w:r>
        <w:rPr>
          <w:rStyle w:val="InternetLink"/>
        </w:rPr>
        <w:t>https://pmc.ncbi.nlm.nih.gov/articles/PMC9824298/?report=classic#3</w:t>
      </w:r>
      <w:r>
        <w:rPr>
          <w:rStyle w:val="InternetLink"/>
        </w:rPr>
        <w:fldChar w:fldCharType="end"/>
      </w:r>
      <w:r>
        <w:rPr/>
        <w:t xml:space="preserve"> — accessed 2026-10-24</w:t>
      </w:r>
    </w:p>
    <w:p>
      <w:pPr>
        <w:pStyle w:val="TextBody"/>
        <w:rPr/>
      </w:pPr>
      <w:r>
        <w:rPr/>
        <w:t xml:space="preserve">[82] </w:t>
      </w:r>
      <w:r>
        <w:rPr/>
        <w:t>原始采集经济时代需要人工种茶吗</w:t>
      </w:r>
      <w:r>
        <w:rPr/>
        <w:t>?——</w:t>
      </w:r>
      <w:r>
        <w:rPr/>
        <w:t>三论田螺山人工栽培茶树根不可信</w:t>
      </w:r>
      <w:r>
        <w:rPr/>
        <w:t>-</w:t>
      </w:r>
      <w:r>
        <w:rPr/>
        <w:t>农业考古</w:t>
      </w:r>
      <w:r>
        <w:rPr/>
        <w:t>2017</w:t>
      </w:r>
      <w:r>
        <w:rPr/>
        <w:t>年</w:t>
      </w:r>
      <w:r>
        <w:rPr/>
        <w:t>05</w:t>
      </w:r>
      <w:r>
        <w:rPr/>
        <w:t>期</w:t>
      </w:r>
      <w:r>
        <w:rPr/>
        <w:t>-</w:t>
      </w:r>
      <w:r>
        <w:rPr/>
        <w:t xml:space="preserve">手机知网 — </w:t>
      </w:r>
      <w:r>
        <w:rPr/>
        <w:t xml:space="preserve">wap.cnki.net — </w:t>
      </w:r>
      <w:hyperlink r:id="rId24">
        <w:r>
          <w:rPr>
            <w:rStyle w:val="InternetLink"/>
          </w:rPr>
          <w:t>https://wap.cnki.net/touch/web/Journal/Article/NOSE201705036.html</w:t>
        </w:r>
      </w:hyperlink>
      <w:r>
        <w:rPr/>
        <w:t xml:space="preserve"> — accessed 2026-10-24</w:t>
      </w:r>
    </w:p>
    <w:p>
      <w:pPr>
        <w:pStyle w:val="TextBody"/>
        <w:rPr/>
      </w:pPr>
      <w:r>
        <w:rPr/>
        <w:t xml:space="preserve">[86] Caffeine—and Tea—in the Stone Age — itsmorethantea.wordpress.com — </w:t>
      </w:r>
      <w:hyperlink r:id="rId25">
        <w:r>
          <w:rPr>
            <w:rStyle w:val="InternetLink"/>
          </w:rPr>
          <w:t>https://itsmorethantea.wordpress.com/2022/06/02/caffeine-and-tea-in-the-stone-age/?like_comment=12201&amp;_wpnonce=6907711299</w:t>
        </w:r>
      </w:hyperlink>
      <w:r>
        <w:rPr/>
        <w:t xml:space="preserve"> — accessed 2026-10-24</w:t>
      </w:r>
    </w:p>
    <w:p>
      <w:pPr>
        <w:pStyle w:val="TextBody"/>
        <w:rPr/>
      </w:pPr>
      <w:r>
        <w:rPr/>
        <w:t xml:space="preserve">[89] Caoxieshan, in Jiangsu province (4000- 3800 BC), is a later Lower Yangtze site — https-www-cambridge-org-443.webvpn.ynu.edu.cn — </w:t>
      </w:r>
      <w:r>
        <w:fldChar w:fldCharType="begin"/>
      </w:r>
      <w:r>
        <w:rPr>
          <w:rStyle w:val="InternetLink"/>
        </w:rPr>
        <w:instrText xml:space="preserve"> HYPERLINK "https://https-www-cambridge-org-443.webvpn.ynu.edu.cn/core/services/aop-cambridge-core/content/view/7C097459318F76F4E08F2FF065B6F4BC/S0003598X15000940a.pdf/phytoliths-and-rice-from-wet-to-dry-and-back-again-in-the-neolithic-lower-yangtze.pdf" \l "2%233%232"</w:instrText>
      </w:r>
      <w:r>
        <w:rPr>
          <w:rStyle w:val="InternetLink"/>
        </w:rPr>
        <w:fldChar w:fldCharType="separate"/>
      </w:r>
      <w:r>
        <w:rPr>
          <w:rStyle w:val="InternetLink"/>
        </w:rPr>
        <w:t>https://https-www-cambridge-org-443.webvpn.ynu.edu.cn/core/services/aop-cambridge-core/content/view/7C097459318F76F4E08F2FF065B6F4BC/S0003598X15000940a.pdf/phytoliths-and-rice-from-wet-to-dry-and-back-again-in-the-neolithic-lower-yangtze.pdf#2%233%232</w:t>
      </w:r>
      <w:r>
        <w:rPr>
          <w:rStyle w:val="InternetLink"/>
        </w:rPr>
        <w:fldChar w:fldCharType="end"/>
      </w:r>
      <w:r>
        <w:rPr/>
        <w:t xml:space="preserve"> — accessed 2026-10-24</w:t>
      </w:r>
    </w:p>
    <w:p>
      <w:pPr>
        <w:pStyle w:val="TextBody"/>
        <w:rPr/>
      </w:pPr>
      <w:r>
        <w:rPr/>
        <w:t xml:space="preserve">[90] Phytoliths reveal the earliest fine reedy textile in China at the Tianluoshan site — pmc.ncbi.nlm.nih.gov — </w:t>
      </w:r>
      <w:r>
        <w:fldChar w:fldCharType="begin"/>
      </w:r>
      <w:r>
        <w:rPr>
          <w:rStyle w:val="InternetLink"/>
        </w:rPr>
        <w:instrText xml:space="preserve"> HYPERLINK "https://pmc.ncbi.nlm.nih.gov/articles/instance/4725870/bin/srep18664-s1.pdf" \l "1%231%231"</w:instrText>
      </w:r>
      <w:r>
        <w:rPr>
          <w:rStyle w:val="InternetLink"/>
        </w:rPr>
        <w:fldChar w:fldCharType="separate"/>
      </w:r>
      <w:r>
        <w:rPr>
          <w:rStyle w:val="InternetLink"/>
        </w:rPr>
        <w:t>https://pmc.ncbi.nlm.nih.gov/articles/instance/4725870/bin/srep18664-s1.pdf#1%231%231</w:t>
      </w:r>
      <w:r>
        <w:rPr>
          <w:rStyle w:val="InternetLink"/>
        </w:rPr>
        <w:fldChar w:fldCharType="end"/>
      </w:r>
      <w:r>
        <w:rPr/>
        <w:t xml:space="preserve"> — accessed 2026-10-24</w:t>
      </w:r>
    </w:p>
    <w:p>
      <w:pPr>
        <w:pStyle w:val="TextBody"/>
        <w:rPr/>
      </w:pPr>
      <w:r>
        <w:rPr/>
        <w:t xml:space="preserve">[92] 2011 </w:t>
      </w:r>
      <w:r>
        <w:rPr/>
        <w:t xml:space="preserve">田螺山遗址的植物考古分析 </w:t>
      </w:r>
      <w:r>
        <w:rPr/>
        <w:t xml:space="preserve">Tianluoshan Yizhi de Zhiwu Kaogu Fenxi (Report on the Archaeobotanical Remains from the Site of Tianluoshan) — core.ac.uk — </w:t>
      </w:r>
      <w:r>
        <w:fldChar w:fldCharType="begin"/>
      </w:r>
      <w:r>
        <w:rPr>
          <w:rStyle w:val="InternetLink"/>
        </w:rPr>
        <w:instrText xml:space="preserve"> HYPERLINK "https://core.ac.uk/download/pdf/28943948.pdf" \l "50%2372%2350"</w:instrText>
      </w:r>
      <w:r>
        <w:rPr>
          <w:rStyle w:val="InternetLink"/>
        </w:rPr>
        <w:fldChar w:fldCharType="separate"/>
      </w:r>
      <w:r>
        <w:rPr>
          <w:rStyle w:val="InternetLink"/>
        </w:rPr>
        <w:t>https://core.ac.uk/download/pdf/28943948.pdf#50%2372%2350</w:t>
      </w:r>
      <w:r>
        <w:rPr>
          <w:rStyle w:val="InternetLink"/>
        </w:rPr>
        <w:fldChar w:fldCharType="end"/>
      </w:r>
      <w:r>
        <w:rPr/>
        <w:t xml:space="preserve"> — accessed 2026-10-24</w:t>
      </w:r>
    </w:p>
    <w:p>
      <w:pPr>
        <w:pStyle w:val="TextBody"/>
        <w:rPr/>
      </w:pPr>
      <w:r>
        <w:rPr/>
        <w:t xml:space="preserve">[93] The Tianluoshan Neolithic Site at Yuyao, Zhejiang — www.degruyterbrill.com — </w:t>
      </w:r>
      <w:r>
        <w:fldChar w:fldCharType="begin"/>
      </w:r>
      <w:r>
        <w:rPr>
          <w:rStyle w:val="InternetLink"/>
        </w:rPr>
        <w:instrText xml:space="preserve"> HYPERLINK "https://www.degruyterbrill.com/de/document/doi/10.1515/CHAR.2008.8.1.44/html?_x_output_type_b6db407c4_=embedded_pdf" \l "1%231%231"</w:instrText>
      </w:r>
      <w:r>
        <w:rPr>
          <w:rStyle w:val="InternetLink"/>
        </w:rPr>
        <w:fldChar w:fldCharType="separate"/>
      </w:r>
      <w:r>
        <w:rPr>
          <w:rStyle w:val="InternetLink"/>
        </w:rPr>
        <w:t>https://www.degruyterbrill.com/de/document/doi/10.1515/CHAR.2008.8.1.44/html?_x_output_type_b6db407c4_=embedded_pdf#1%231%231</w:t>
      </w:r>
      <w:r>
        <w:rPr>
          <w:rStyle w:val="InternetLink"/>
        </w:rPr>
        <w:fldChar w:fldCharType="end"/>
      </w:r>
      <w:r>
        <w:rPr/>
        <w:t xml:space="preserve"> — accessed 2026-10-24</w:t>
      </w:r>
    </w:p>
    <w:p>
      <w:pPr>
        <w:pStyle w:val="TextBody"/>
        <w:rPr/>
      </w:pPr>
      <w:r>
        <w:rPr/>
        <w:t xml:space="preserve">[95] fected rice cultivation in the coastal areas — www.soaa.zju.edu.cn — </w:t>
      </w:r>
      <w:r>
        <w:fldChar w:fldCharType="begin"/>
      </w:r>
      <w:r>
        <w:rPr>
          <w:rStyle w:val="InternetLink"/>
        </w:rPr>
        <w:instrText xml:space="preserve"> HYPERLINK "http://www.soaa.zju.edu.cn/_upload/article/files/57/45/3486a1a64e5cbcae6e7c6ca472ae/b5a91857-33c3-4a90-b3d0-e5589a89d4c2.pdf" \l "2%234%232"</w:instrText>
      </w:r>
      <w:r>
        <w:rPr>
          <w:rStyle w:val="InternetLink"/>
        </w:rPr>
        <w:fldChar w:fldCharType="separate"/>
      </w:r>
      <w:r>
        <w:rPr>
          <w:rStyle w:val="InternetLink"/>
        </w:rPr>
        <w:t>http://www.soaa.zju.edu.cn/_upload/article/files/57/45/3486a1a64e5cbcae6e7c6ca472ae/b5a91857-33c3-4a90-b3d0-e5589a89d4c2.pdf#2%234%232</w:t>
      </w:r>
      <w:r>
        <w:rPr>
          <w:rStyle w:val="InternetLink"/>
        </w:rPr>
        <w:fldChar w:fldCharType="end"/>
      </w:r>
      <w:r>
        <w:rPr/>
        <w:t xml:space="preserve"> — accessed 2026-10-24</w:t>
      </w:r>
      <w:bookmarkEnd w:id="54"/>
    </w:p>
    <w:p>
      <w:pPr>
        <w:pStyle w:val="Heading1"/>
        <w:rPr/>
      </w:pPr>
      <w:bookmarkStart w:id="55" w:name="__RefHeading___Toc1157_3383370932"/>
      <w:bookmarkStart w:id="56" w:name="also-consulted"/>
      <w:bookmarkEnd w:id="55"/>
      <w:r>
        <w:rPr/>
        <w:t>Also consulted</w:t>
      </w:r>
    </w:p>
    <w:p>
      <w:pPr>
        <w:pStyle w:val="Compact"/>
        <w:numPr>
          <w:ilvl w:val="0"/>
          <w:numId w:val="28"/>
        </w:numPr>
        <w:rPr/>
      </w:pPr>
      <w:r>
        <w:rPr/>
        <w:t xml:space="preserve">www — igg.cas.cn — </w:t>
      </w:r>
      <w:r>
        <w:fldChar w:fldCharType="begin"/>
      </w:r>
      <w:r>
        <w:rPr>
          <w:rStyle w:val="InternetLink"/>
        </w:rPr>
        <w:instrText xml:space="preserve"> HYPERLINK "http://igg.cas.cn/xwzx/yjcg/201601/W020160111315088114752.pdf" \l "1%232%231"</w:instrText>
      </w:r>
      <w:r>
        <w:rPr>
          <w:rStyle w:val="InternetLink"/>
        </w:rPr>
        <w:fldChar w:fldCharType="separate"/>
      </w:r>
      <w:r>
        <w:rPr>
          <w:rStyle w:val="InternetLink"/>
        </w:rPr>
        <w:t>http://igg.cas.cn/xwzx/yjcg/201601/W020160111315088114752.pdf#1%232%231</w:t>
      </w:r>
      <w:r>
        <w:rPr>
          <w:rStyle w:val="InternetLink"/>
        </w:rPr>
        <w:fldChar w:fldCharType="end"/>
      </w:r>
      <w:r>
        <w:rPr/>
        <w:t xml:space="preserve"> — accessed 2026-10-24</w:t>
      </w:r>
    </w:p>
    <w:p>
      <w:pPr>
        <w:pStyle w:val="Compact"/>
        <w:numPr>
          <w:ilvl w:val="0"/>
          <w:numId w:val="29"/>
        </w:numPr>
        <w:rPr/>
      </w:pPr>
      <w:r>
        <w:rPr/>
        <w:t xml:space="preserve">earliest fossil evidence: Topics by Science.gov - Lu, Houyuan; Zhang, Jianping; Yang, Yimin; Yang, Xiaoyan; Xu, Baiqing; Yang, Wuzhan; Tong, Tao; Jin, Shubo; Shen, Caiming; Rao, ... — www.science.gov — </w:t>
      </w:r>
      <w:r>
        <w:fldChar w:fldCharType="begin"/>
      </w:r>
      <w:r>
        <w:rPr>
          <w:rStyle w:val="InternetLink"/>
        </w:rPr>
        <w:instrText xml:space="preserve"> HYPERLINK "https://www.science.gov/topicpages/e/earliest+fossil+evidence" \l "21"</w:instrText>
      </w:r>
      <w:r>
        <w:rPr>
          <w:rStyle w:val="InternetLink"/>
        </w:rPr>
        <w:fldChar w:fldCharType="separate"/>
      </w:r>
      <w:r>
        <w:rPr>
          <w:rStyle w:val="InternetLink"/>
        </w:rPr>
        <w:t>https://www.science.gov/topicpages/e/earliest+fossil+evidence#21</w:t>
      </w:r>
      <w:r>
        <w:rPr>
          <w:rStyle w:val="InternetLink"/>
        </w:rPr>
        <w:fldChar w:fldCharType="end"/>
      </w:r>
      <w:r>
        <w:rPr/>
        <w:t xml:space="preserve"> — accessed 2026-10-24</w:t>
      </w:r>
    </w:p>
    <w:p>
      <w:pPr>
        <w:pStyle w:val="Compact"/>
        <w:numPr>
          <w:ilvl w:val="0"/>
          <w:numId w:val="30"/>
        </w:numPr>
        <w:rPr/>
      </w:pPr>
      <w:r>
        <w:rPr/>
        <w:t xml:space="preserve">科研人员发现世界上最早茶叶实物 — </w:t>
      </w:r>
      <w:r>
        <w:rPr/>
        <w:t xml:space="preserve">mp.weixin.qq.com — </w:t>
      </w:r>
      <w:r>
        <w:fldChar w:fldCharType="begin"/>
      </w:r>
      <w:r>
        <w:rPr>
          <w:rStyle w:val="InternetLink"/>
        </w:rPr>
        <w:instrText xml:space="preserve"> HYPERLINK "http://mp.weixin.qq.com/s?__biz=MjM5NzIyNDI1Mw==&amp;mid=402031796&amp;idx=3&amp;sn=73622183b4fed74bf4251224ec1788c7&amp;scene=6" \l "rd"</w:instrText>
      </w:r>
      <w:r>
        <w:rPr>
          <w:rStyle w:val="InternetLink"/>
        </w:rPr>
        <w:fldChar w:fldCharType="separate"/>
      </w:r>
      <w:r>
        <w:rPr>
          <w:rStyle w:val="InternetLink"/>
        </w:rPr>
        <w:t>http://mp.weixin.qq.com/s?__biz=MjM5NzIyNDI1Mw==&amp;mid=402031796&amp;idx=3&amp;sn=73622183b4fed74bf4251224ec1788c7&amp;scene=6#rd</w:t>
      </w:r>
      <w:r>
        <w:rPr>
          <w:rStyle w:val="InternetLink"/>
        </w:rPr>
        <w:fldChar w:fldCharType="end"/>
      </w:r>
      <w:r>
        <w:rPr/>
        <w:t xml:space="preserve"> — accessed 2026-10-24</w:t>
      </w:r>
    </w:p>
    <w:p>
      <w:pPr>
        <w:pStyle w:val="Compact"/>
        <w:numPr>
          <w:ilvl w:val="0"/>
          <w:numId w:val="31"/>
        </w:numPr>
        <w:rPr/>
      </w:pPr>
      <w:r>
        <w:rPr/>
        <w:t xml:space="preserve">Full text of “A Dictionary Of The Economic Products Of India Vol. 2” - CHIKATKA — archive.org — </w:t>
      </w:r>
      <w:r>
        <w:fldChar w:fldCharType="begin"/>
      </w:r>
      <w:r>
        <w:rPr>
          <w:rStyle w:val="InternetLink"/>
        </w:rPr>
        <w:instrText xml:space="preserve"> HYPERLINK "https://archive.org/stream/in.ernet.dli.2015.460909/2015.460909.A-Dictionary_djvu.txt" \l "24"</w:instrText>
      </w:r>
      <w:r>
        <w:rPr>
          <w:rStyle w:val="InternetLink"/>
        </w:rPr>
        <w:fldChar w:fldCharType="separate"/>
      </w:r>
      <w:r>
        <w:rPr>
          <w:rStyle w:val="InternetLink"/>
        </w:rPr>
        <w:t>https://archive.org/stream/in.ernet.dli.2015.460909/2015.460909.A-Dictionary_djvu.txt#24</w:t>
      </w:r>
      <w:r>
        <w:rPr>
          <w:rStyle w:val="InternetLink"/>
        </w:rPr>
        <w:fldChar w:fldCharType="end"/>
      </w:r>
      <w:r>
        <w:rPr/>
        <w:t xml:space="preserve"> — accessed 2026-10-24</w:t>
      </w:r>
    </w:p>
    <w:p>
      <w:pPr>
        <w:pStyle w:val="Compact"/>
        <w:numPr>
          <w:ilvl w:val="0"/>
          <w:numId w:val="32"/>
        </w:numPr>
        <w:rPr/>
      </w:pPr>
      <w:r>
        <w:rPr/>
        <w:t xml:space="preserve">%{search_type} search results - Reporting from: https://searchworks — searchworks.stanford.edu — </w:t>
      </w:r>
      <w:r>
        <w:fldChar w:fldCharType="begin"/>
      </w:r>
      <w:r>
        <w:rPr>
          <w:rStyle w:val="InternetLink"/>
        </w:rPr>
        <w:instrText xml:space="preserve"> HYPERLINK "https://searchworks.stanford.edu/catalog?q=9789004393608" \l "1"</w:instrText>
      </w:r>
      <w:r>
        <w:rPr>
          <w:rStyle w:val="InternetLink"/>
        </w:rPr>
        <w:fldChar w:fldCharType="separate"/>
      </w:r>
      <w:r>
        <w:rPr>
          <w:rStyle w:val="InternetLink"/>
        </w:rPr>
        <w:t>https://searchworks.stanford.edu/catalog?q=9789004393608#1</w:t>
      </w:r>
      <w:r>
        <w:rPr>
          <w:rStyle w:val="InternetLink"/>
        </w:rPr>
        <w:fldChar w:fldCharType="end"/>
      </w:r>
      <w:r>
        <w:rPr/>
        <w:t xml:space="preserve"> — accessed 2026-10-24</w:t>
      </w:r>
    </w:p>
    <w:p>
      <w:pPr>
        <w:pStyle w:val="Compact"/>
        <w:numPr>
          <w:ilvl w:val="0"/>
          <w:numId w:val="33"/>
        </w:numPr>
        <w:rPr/>
      </w:pPr>
      <w:r>
        <w:rPr/>
        <w:t xml:space="preserve">系列报道之：天子上苑有茶园 — </w:t>
      </w:r>
      <w:r>
        <w:rPr/>
        <w:t xml:space="preserve">www.ctma.com.cn — </w:t>
      </w:r>
      <w:hyperlink r:id="rId26">
        <w:r>
          <w:rPr>
            <w:rStyle w:val="InternetLink"/>
          </w:rPr>
          <w:t>https://www.ctma.com.cn/index.php/hangyeyaowen/23914.html</w:t>
        </w:r>
      </w:hyperlink>
      <w:r>
        <w:rPr/>
        <w:t xml:space="preserve"> — accessed 2026-10-24</w:t>
      </w:r>
    </w:p>
    <w:p>
      <w:pPr>
        <w:pStyle w:val="Compact"/>
        <w:numPr>
          <w:ilvl w:val="0"/>
          <w:numId w:val="34"/>
        </w:numPr>
        <w:rPr/>
      </w:pPr>
      <w:r>
        <w:rPr/>
        <w:t xml:space="preserve">%{search_type} search results - Search Constraints — searchworks.stanford.edu — </w:t>
      </w:r>
      <w:r>
        <w:fldChar w:fldCharType="begin"/>
      </w:r>
      <w:r>
        <w:rPr>
          <w:rStyle w:val="InternetLink"/>
        </w:rPr>
        <w:instrText xml:space="preserve"> HYPERLINK "https://searchworks.stanford.edu/?f%5Bgenre_ssim%5D%5B%5D=History&amp;f%5Btopic_facet%5D%5B%5D=SOCIAL+SCIENCE&amp;f%5Btopic_facet%5D%5B%5D=Tea" \l "1"</w:instrText>
      </w:r>
      <w:r>
        <w:rPr>
          <w:rStyle w:val="InternetLink"/>
        </w:rPr>
        <w:fldChar w:fldCharType="separate"/>
      </w:r>
      <w:r>
        <w:rPr>
          <w:rStyle w:val="InternetLink"/>
        </w:rPr>
        <w:t>https://searchworks.stanford.edu/?f%5bgenre_ssim%5d%5b%5d=History&amp;f%5btopic_facet%5d%5b%5d=SOCIAL+SCIENCE&amp;f%5btopic_facet%5d%5b%5d=Tea#1</w:t>
      </w:r>
      <w:r>
        <w:rPr>
          <w:rStyle w:val="InternetLink"/>
        </w:rPr>
        <w:fldChar w:fldCharType="end"/>
      </w:r>
      <w:r>
        <w:rPr/>
        <w:t xml:space="preserve"> — accessed 2026-10-24</w:t>
      </w:r>
    </w:p>
    <w:p>
      <w:pPr>
        <w:pStyle w:val="Compact"/>
        <w:numPr>
          <w:ilvl w:val="0"/>
          <w:numId w:val="35"/>
        </w:numPr>
        <w:rPr/>
      </w:pPr>
      <w:r>
        <w:rPr/>
        <w:t>中日韩英四国茶道</w:t>
      </w:r>
      <w:r>
        <w:rPr/>
        <w:t>--</w:t>
      </w:r>
      <w:r>
        <w:rPr/>
        <w:t>新书推荐</w:t>
      </w:r>
      <w:r>
        <w:rPr/>
        <w:t>-</w:t>
      </w:r>
      <w:r>
        <w:rPr/>
        <w:t>精品图书</w:t>
      </w:r>
      <w:r>
        <w:rPr/>
        <w:t>-</w:t>
      </w:r>
      <w:r>
        <w:rPr/>
        <w:t xml:space="preserve">中国出版集团 — </w:t>
      </w:r>
      <w:r>
        <w:rPr/>
        <w:t xml:space="preserve">book.cnpubg.com — </w:t>
      </w:r>
      <w:hyperlink r:id="rId27">
        <w:r>
          <w:rPr>
            <w:rStyle w:val="InternetLink"/>
          </w:rPr>
          <w:t>http://book.cnpubg.com/?app=book&amp;controller=book&amp;action=showBook&amp;bookid=3493</w:t>
        </w:r>
      </w:hyperlink>
      <w:r>
        <w:rPr/>
        <w:t xml:space="preserve"> — accessed 2026-10-24</w:t>
      </w:r>
    </w:p>
    <w:p>
      <w:pPr>
        <w:pStyle w:val="Compact"/>
        <w:numPr>
          <w:ilvl w:val="0"/>
          <w:numId w:val="36"/>
        </w:numPr>
        <w:rPr/>
      </w:pPr>
      <w:r>
        <w:rPr/>
        <w:t xml:space="preserve">Budaya teh Cina - Wikipedia Bahasa Melayu, ensiklopedia bebas - Pada zaman Tang juga, sami Buddha Jepun datang ke China dan pulang dengan membawa teh — ms.wikipedia.org — </w:t>
      </w:r>
      <w:r>
        <w:fldChar w:fldCharType="begin"/>
      </w:r>
      <w:r>
        <w:rPr>
          <w:rStyle w:val="InternetLink"/>
        </w:rPr>
        <w:instrText xml:space="preserve"> HYPERLINK "https://ms.wikipedia.org/wiki/Budaya_teh_Cina" \l "2"</w:instrText>
      </w:r>
      <w:r>
        <w:rPr>
          <w:rStyle w:val="InternetLink"/>
        </w:rPr>
        <w:fldChar w:fldCharType="separate"/>
      </w:r>
      <w:r>
        <w:rPr>
          <w:rStyle w:val="InternetLink"/>
        </w:rPr>
        <w:t>https://ms.wikipedia.org/wiki/Budaya_teh_Cina#2</w:t>
      </w:r>
      <w:r>
        <w:rPr>
          <w:rStyle w:val="InternetLink"/>
        </w:rPr>
        <w:fldChar w:fldCharType="end"/>
      </w:r>
      <w:r>
        <w:rPr/>
        <w:t xml:space="preserve"> — accessed 2026-10-24</w:t>
      </w:r>
    </w:p>
    <w:p>
      <w:pPr>
        <w:pStyle w:val="Compact"/>
        <w:numPr>
          <w:ilvl w:val="0"/>
          <w:numId w:val="37"/>
        </w:numPr>
        <w:rPr/>
      </w:pPr>
      <w:r>
        <w:rPr/>
        <w:t>CCTV-</w:t>
      </w:r>
      <w:r>
        <w:rPr/>
        <w:t>科技频道</w:t>
      </w:r>
      <w:r>
        <w:rPr/>
        <w:t>-</w:t>
      </w:r>
      <w:r>
        <w:rPr/>
        <w:t xml:space="preserve">香茗探秘 — </w:t>
      </w:r>
      <w:r>
        <w:rPr/>
        <w:t xml:space="preserve">news.cctv.cn — </w:t>
      </w:r>
      <w:r>
        <w:fldChar w:fldCharType="begin"/>
      </w:r>
      <w:r>
        <w:rPr>
          <w:rStyle w:val="InternetLink"/>
        </w:rPr>
        <w:instrText xml:space="preserve"> HYPERLINK "https://news.cctv.cn/program/lc/topic/science/C13602/20050221/100560.shtml" \l "1"</w:instrText>
      </w:r>
      <w:r>
        <w:rPr>
          <w:rStyle w:val="InternetLink"/>
        </w:rPr>
        <w:fldChar w:fldCharType="separate"/>
      </w:r>
      <w:r>
        <w:rPr>
          <w:rStyle w:val="InternetLink"/>
        </w:rPr>
        <w:t>https://news.cctv.cn/program/lc/topic/science/C13602/20050221/100560.shtml#1</w:t>
      </w:r>
      <w:r>
        <w:rPr>
          <w:rStyle w:val="InternetLink"/>
        </w:rPr>
        <w:fldChar w:fldCharType="end"/>
      </w:r>
      <w:r>
        <w:rPr/>
        <w:t xml:space="preserve"> — accessed 2026-10-24</w:t>
      </w:r>
    </w:p>
    <w:p>
      <w:pPr>
        <w:pStyle w:val="Compact"/>
        <w:numPr>
          <w:ilvl w:val="0"/>
          <w:numId w:val="38"/>
        </w:numPr>
        <w:rPr/>
      </w:pPr>
      <w:r>
        <w:rPr/>
        <w:t xml:space="preserve">Появление трансконтинентальной коммуникации через Сибирь было связано с геополитическими под- вижками в эпоху Великих географиче... — khakniiyali.ru — </w:t>
      </w:r>
      <w:r>
        <w:fldChar w:fldCharType="begin"/>
      </w:r>
      <w:r>
        <w:rPr>
          <w:rStyle w:val="InternetLink"/>
        </w:rPr>
        <w:instrText xml:space="preserve"> HYPERLINK "https://khakniiyali.ru/wp-content/uploads/2025/08/razvitie-soczialno-ekonom.-hakniiyali_.pdf" \l "139%23206%23139"</w:instrText>
      </w:r>
      <w:r>
        <w:rPr>
          <w:rStyle w:val="InternetLink"/>
        </w:rPr>
        <w:fldChar w:fldCharType="separate"/>
      </w:r>
      <w:r>
        <w:rPr>
          <w:rStyle w:val="InternetLink"/>
        </w:rPr>
        <w:t>https://khakniiyali.ru/wp-content/uploads/2025/08/razvitie-soczialno-ekonom.-hakniiyali_.pdf#139%23206%23139</w:t>
      </w:r>
      <w:r>
        <w:rPr>
          <w:rStyle w:val="InternetLink"/>
        </w:rPr>
        <w:fldChar w:fldCharType="end"/>
      </w:r>
      <w:r>
        <w:rPr/>
        <w:t xml:space="preserve"> — accessed 2026-10-24</w:t>
      </w:r>
    </w:p>
    <w:p>
      <w:pPr>
        <w:pStyle w:val="Compact"/>
        <w:numPr>
          <w:ilvl w:val="0"/>
          <w:numId w:val="39"/>
        </w:numPr>
        <w:rPr/>
      </w:pPr>
      <w:r>
        <w:rPr/>
        <w:t xml:space="preserve">Classic Catalogue — librarysystem.st-andrews.ac.uk — </w:t>
      </w:r>
      <w:hyperlink r:id="rId28">
        <w:r>
          <w:rPr>
            <w:rStyle w:val="InternetLink"/>
          </w:rPr>
          <w:t>https://librarysystem.st-andrews.ac.uk/search~S5?/dTea+trade+--+China+--+20th+century./dtea+trade+china+++++++20th+century/-3,-1,0,B/frameset&amp;FF=dtea+trade+china+history&amp;1,,4?save=b3521549</w:t>
        </w:r>
      </w:hyperlink>
      <w:r>
        <w:rPr/>
        <w:t xml:space="preserve"> — accessed 2026-10-24</w:t>
      </w:r>
    </w:p>
    <w:p>
      <w:pPr>
        <w:pStyle w:val="Compact"/>
        <w:numPr>
          <w:ilvl w:val="0"/>
          <w:numId w:val="40"/>
        </w:numPr>
        <w:rPr/>
      </w:pPr>
      <w:r>
        <w:rPr/>
        <w:t>新고고학 발견</w:t>
      </w:r>
      <w:r>
        <w:rPr/>
        <w:t xml:space="preserve">! </w:t>
      </w:r>
      <w:r>
        <w:rPr/>
        <w:t xml:space="preserve">중국 茶문화 기원 ‘전국시대 초기’ — </w:t>
      </w:r>
      <w:r>
        <w:rPr/>
        <w:t xml:space="preserve">kr.people.com.cn — </w:t>
      </w:r>
      <w:hyperlink r:id="rId29">
        <w:r>
          <w:rPr>
            <w:rStyle w:val="InternetLink"/>
          </w:rPr>
          <w:t>http://kr.people.com.cn/n3/2021/1201/c207466-9926911.html</w:t>
        </w:r>
      </w:hyperlink>
      <w:r>
        <w:rPr/>
        <w:t xml:space="preserve"> — accessed 2026-10-24</w:t>
      </w:r>
    </w:p>
    <w:p>
      <w:pPr>
        <w:pStyle w:val="Compact"/>
        <w:numPr>
          <w:ilvl w:val="0"/>
          <w:numId w:val="41"/>
        </w:numPr>
        <w:rPr/>
      </w:pPr>
      <w:r>
        <w:rPr/>
        <w:t>英媒：汉景帝墓出土世界最古老茶叶 距今</w:t>
      </w:r>
      <w:r>
        <w:rPr/>
        <w:t>2150</w:t>
      </w:r>
      <w:r>
        <w:rPr/>
        <w:t>年</w:t>
      </w:r>
      <w:r>
        <w:rPr/>
        <w:t>_</w:t>
      </w:r>
      <w:r>
        <w:rPr/>
        <w:t>新闻频道</w:t>
      </w:r>
      <w:r>
        <w:rPr/>
        <w:t>_</w:t>
      </w:r>
      <w:r>
        <w:rPr/>
        <w:t xml:space="preserve">中国青年网 — </w:t>
      </w:r>
      <w:r>
        <w:rPr/>
        <w:t xml:space="preserve">news.youth.cn — </w:t>
      </w:r>
      <w:hyperlink r:id="rId30">
        <w:r>
          <w:rPr>
            <w:rStyle w:val="InternetLink"/>
          </w:rPr>
          <w:t>http://news.youth.cn/gn/201601/t20160112_7514902.htm</w:t>
        </w:r>
      </w:hyperlink>
      <w:r>
        <w:rPr/>
        <w:t xml:space="preserve"> — accessed 2026-10-24</w:t>
      </w:r>
    </w:p>
    <w:p>
      <w:pPr>
        <w:pStyle w:val="Compact"/>
        <w:numPr>
          <w:ilvl w:val="0"/>
          <w:numId w:val="42"/>
        </w:numPr>
        <w:rPr/>
      </w:pPr>
      <w:r>
        <w:rPr/>
        <w:t xml:space="preserve">У Китаї знайшли найдавніші в світі залишки чаю — www.ukrinform.ua — </w:t>
      </w:r>
      <w:hyperlink r:id="rId31">
        <w:r>
          <w:rPr>
            <w:rStyle w:val="InternetLink"/>
          </w:rPr>
          <w:t>https://www.ukrinform.ua/rubric-world/3361712-u-kitai-znajsli-najdavnisi-v-sviti-zaliski-cau.html</w:t>
        </w:r>
      </w:hyperlink>
      <w:r>
        <w:rPr/>
        <w:t xml:space="preserve"> — accessed 2026-10-24</w:t>
      </w:r>
    </w:p>
    <w:p>
      <w:pPr>
        <w:pStyle w:val="Compact"/>
        <w:numPr>
          <w:ilvl w:val="0"/>
          <w:numId w:val="43"/>
        </w:numPr>
        <w:rPr/>
      </w:pPr>
      <w:r>
        <w:rPr/>
        <w:t xml:space="preserve">The Emergence of Drinking Tea, Coffee and Chocolate within the Context of Kangxi Blue-and-White Porcelain — royalporcelaincollection.skd.museum — </w:t>
      </w:r>
      <w:hyperlink r:id="rId32">
        <w:r>
          <w:rPr>
            <w:rStyle w:val="InternetLink"/>
          </w:rPr>
          <w:t>https://royalporcelaincollection.skd.museum/catalogue/1/text/120</w:t>
        </w:r>
      </w:hyperlink>
      <w:r>
        <w:rPr/>
        <w:t xml:space="preserve"> — accessed 2026-10-24</w:t>
      </w:r>
    </w:p>
    <w:p>
      <w:pPr>
        <w:pStyle w:val="Compact"/>
        <w:numPr>
          <w:ilvl w:val="0"/>
          <w:numId w:val="44"/>
        </w:numPr>
        <w:rPr/>
      </w:pPr>
      <w:r>
        <w:rPr/>
        <w:t xml:space="preserve">BBC - h2g2 - Tea in Britain: a Social History - Guide ID: A25734323 (Edited) — www.bbc.co.uk — </w:t>
      </w:r>
      <w:r>
        <w:fldChar w:fldCharType="begin"/>
      </w:r>
      <w:r>
        <w:rPr>
          <w:rStyle w:val="InternetLink"/>
        </w:rPr>
        <w:instrText xml:space="preserve"> HYPERLINK "https://www.bbc.co.uk/dna/mb6music/A25734323" \l "1"</w:instrText>
      </w:r>
      <w:r>
        <w:rPr>
          <w:rStyle w:val="InternetLink"/>
        </w:rPr>
        <w:fldChar w:fldCharType="separate"/>
      </w:r>
      <w:r>
        <w:rPr>
          <w:rStyle w:val="InternetLink"/>
        </w:rPr>
        <w:t>https://www.bbc.co.uk/dna/mb6music/A25734323#1</w:t>
      </w:r>
      <w:r>
        <w:rPr>
          <w:rStyle w:val="InternetLink"/>
        </w:rPr>
        <w:fldChar w:fldCharType="end"/>
      </w:r>
      <w:r>
        <w:rPr/>
        <w:t xml:space="preserve"> — accessed 2026-10-24</w:t>
      </w:r>
    </w:p>
    <w:p>
      <w:pPr>
        <w:pStyle w:val="Compact"/>
        <w:numPr>
          <w:ilvl w:val="0"/>
          <w:numId w:val="45"/>
        </w:numPr>
        <w:rPr/>
      </w:pPr>
      <w:r>
        <w:rPr/>
        <w:t xml:space="preserve">Cup that cheers may come from a collectable teapot - Thank you for correcting the text in this article — paperspast.natlib.govt.nz — </w:t>
      </w:r>
      <w:r>
        <w:fldChar w:fldCharType="begin"/>
      </w:r>
      <w:r>
        <w:rPr>
          <w:rStyle w:val="InternetLink"/>
        </w:rPr>
        <w:instrText xml:space="preserve"> HYPERLINK "https://paperspast.natlib.govt.nz/newspapers/CHP19820713.2.70.1" \l "1"</w:instrText>
      </w:r>
      <w:r>
        <w:rPr>
          <w:rStyle w:val="InternetLink"/>
        </w:rPr>
        <w:fldChar w:fldCharType="separate"/>
      </w:r>
      <w:r>
        <w:rPr>
          <w:rStyle w:val="InternetLink"/>
        </w:rPr>
        <w:t>https://paperspast.natlib.govt.nz/newspapers/CHP19820713.2.70.1#1</w:t>
      </w:r>
      <w:r>
        <w:rPr>
          <w:rStyle w:val="InternetLink"/>
        </w:rPr>
        <w:fldChar w:fldCharType="end"/>
      </w:r>
      <w:r>
        <w:rPr/>
        <w:t xml:space="preserve"> — accessed 2026-10-24</w:t>
      </w:r>
    </w:p>
    <w:p>
      <w:pPr>
        <w:pStyle w:val="Compact"/>
        <w:numPr>
          <w:ilvl w:val="0"/>
          <w:numId w:val="46"/>
        </w:numPr>
        <w:rPr/>
      </w:pPr>
      <w:r>
        <w:rPr/>
        <w:t xml:space="preserve">Papers Past | Magazines and Journals | New Zealand Journal of Agriculture | 15 July 1950 - TEA — paperspast.natlib.govt.nz — </w:t>
      </w:r>
      <w:r>
        <w:fldChar w:fldCharType="begin"/>
      </w:r>
      <w:r>
        <w:rPr>
          <w:rStyle w:val="InternetLink"/>
        </w:rPr>
        <w:instrText xml:space="preserve"> HYPERLINK "https://paperspast.natlib.govt.nz/periodicals/NZJAG19500715.2.50" \l "1"</w:instrText>
      </w:r>
      <w:r>
        <w:rPr>
          <w:rStyle w:val="InternetLink"/>
        </w:rPr>
        <w:fldChar w:fldCharType="separate"/>
      </w:r>
      <w:r>
        <w:rPr>
          <w:rStyle w:val="InternetLink"/>
        </w:rPr>
        <w:t>https://paperspast.natlib.govt.nz/periodicals/NZJAG19500715.2.50#1</w:t>
      </w:r>
      <w:r>
        <w:rPr>
          <w:rStyle w:val="InternetLink"/>
        </w:rPr>
        <w:fldChar w:fldCharType="end"/>
      </w:r>
      <w:r>
        <w:rPr/>
        <w:t xml:space="preserve"> — accessed 2026-10-24</w:t>
      </w:r>
    </w:p>
    <w:p>
      <w:pPr>
        <w:pStyle w:val="Compact"/>
        <w:numPr>
          <w:ilvl w:val="0"/>
          <w:numId w:val="47"/>
        </w:numPr>
        <w:rPr/>
      </w:pPr>
      <w:r>
        <w:rPr/>
        <w:t xml:space="preserve">the reign of Yuen Ty in the dynasty of Tsin, an old woman was accustomed to proceed every morning at daybreak to the market- pla... — archive.org — </w:t>
      </w:r>
      <w:r>
        <w:fldChar w:fldCharType="begin"/>
      </w:r>
      <w:r>
        <w:rPr>
          <w:rStyle w:val="InternetLink"/>
        </w:rPr>
        <w:instrText xml:space="preserve"> HYPERLINK "https://archive.org/download/stnicholasv15part2dodgrich/stnicholasv15part2dodgrich.pdf" \l "64%2366%2364"</w:instrText>
      </w:r>
      <w:r>
        <w:rPr>
          <w:rStyle w:val="InternetLink"/>
        </w:rPr>
        <w:fldChar w:fldCharType="separate"/>
      </w:r>
      <w:r>
        <w:rPr>
          <w:rStyle w:val="InternetLink"/>
        </w:rPr>
        <w:t>https://archive.org/download/stnicholasv15part2dodgrich/stnicholasv15part2dodgrich.pdf#64%2366%2364</w:t>
      </w:r>
      <w:r>
        <w:rPr>
          <w:rStyle w:val="InternetLink"/>
        </w:rPr>
        <w:fldChar w:fldCharType="end"/>
      </w:r>
      <w:r>
        <w:rPr/>
        <w:t xml:space="preserve"> — accessed 2026-10-24</w:t>
      </w:r>
    </w:p>
    <w:p>
      <w:pPr>
        <w:pStyle w:val="Compact"/>
        <w:numPr>
          <w:ilvl w:val="0"/>
          <w:numId w:val="48"/>
        </w:numPr>
        <w:rPr/>
      </w:pPr>
      <w:r>
        <w:rPr/>
        <w:t xml:space="preserve">Dael Norwood, “Trading Freedom - How Trade with China Defined Early America” : CSPAN3 : June 12, 2023 6:57am-8:01am EDT : Free Borrow &amp; Streaming : Internet Archive - created — archive.org — </w:t>
      </w:r>
      <w:r>
        <w:fldChar w:fldCharType="begin"/>
      </w:r>
      <w:r>
        <w:rPr>
          <w:rStyle w:val="InternetLink"/>
        </w:rPr>
        <w:instrText xml:space="preserve"> HYPERLINK "https://archive.org/details/CSPAN3_20230612_105700_Dael_Norwood_Trading_Freedom_-_How_Trade_with_China_Defined_Early..." \l "3"</w:instrText>
      </w:r>
      <w:r>
        <w:rPr>
          <w:rStyle w:val="InternetLink"/>
        </w:rPr>
        <w:fldChar w:fldCharType="separate"/>
      </w:r>
      <w:r>
        <w:rPr>
          <w:rStyle w:val="InternetLink"/>
        </w:rPr>
        <w:t>https://archive.org/details/CSPAN3_20230612_105700_Dael_Norwood_Trading_Freedom_-_How_Trade_with_China_Defined_Early...#3</w:t>
      </w:r>
      <w:r>
        <w:rPr>
          <w:rStyle w:val="InternetLink"/>
        </w:rPr>
        <w:fldChar w:fldCharType="end"/>
      </w:r>
      <w:r>
        <w:rPr/>
        <w:t xml:space="preserve"> — accessed 2026-10-24</w:t>
      </w:r>
    </w:p>
    <w:p>
      <w:pPr>
        <w:pStyle w:val="Compact"/>
        <w:numPr>
          <w:ilvl w:val="0"/>
          <w:numId w:val="49"/>
        </w:numPr>
        <w:rPr/>
      </w:pPr>
      <w:r>
        <w:rPr/>
        <w:t xml:space="preserve">The Drug Wars (Published 1999) - SKIP ADVERTISEMENT — www.nytimes.com — </w:t>
      </w:r>
      <w:r>
        <w:fldChar w:fldCharType="begin"/>
      </w:r>
      <w:r>
        <w:rPr>
          <w:rStyle w:val="InternetLink"/>
        </w:rPr>
        <w:instrText xml:space="preserve"> HYPERLINK "https://www.nytimes.com/1999/09/19/magazine/the-drug-wars.html" \l "1"</w:instrText>
      </w:r>
      <w:r>
        <w:rPr>
          <w:rStyle w:val="InternetLink"/>
        </w:rPr>
        <w:fldChar w:fldCharType="separate"/>
      </w:r>
      <w:r>
        <w:rPr>
          <w:rStyle w:val="InternetLink"/>
        </w:rPr>
        <w:t>https://www.nytimes.com/1999/09/19/magazine/the-drug-wars.html#1</w:t>
      </w:r>
      <w:r>
        <w:rPr>
          <w:rStyle w:val="InternetLink"/>
        </w:rPr>
        <w:fldChar w:fldCharType="end"/>
      </w:r>
      <w:r>
        <w:rPr/>
        <w:t xml:space="preserve"> — accessed 2026-10-24</w:t>
      </w:r>
    </w:p>
    <w:p>
      <w:pPr>
        <w:pStyle w:val="Compact"/>
        <w:numPr>
          <w:ilvl w:val="0"/>
          <w:numId w:val="50"/>
        </w:numPr>
        <w:rPr/>
      </w:pPr>
      <w:r>
        <w:rPr/>
        <w:t xml:space="preserve">Why China’s humiliating defeat in the Opium Wars still matters today - Modern China and the legacy of the Opium Wars — www.abc.net.au — </w:t>
      </w:r>
      <w:r>
        <w:fldChar w:fldCharType="begin"/>
      </w:r>
      <w:r>
        <w:rPr>
          <w:rStyle w:val="InternetLink"/>
        </w:rPr>
        <w:instrText xml:space="preserve"> HYPERLINK "https://www.abc.net.au/news/2018-09-02/modern-china-and-the-legacy-of-the-opium-wars/10172386" \l "1"</w:instrText>
      </w:r>
      <w:r>
        <w:rPr>
          <w:rStyle w:val="InternetLink"/>
        </w:rPr>
        <w:fldChar w:fldCharType="separate"/>
      </w:r>
      <w:r>
        <w:rPr>
          <w:rStyle w:val="InternetLink"/>
        </w:rPr>
        <w:t>https://www.abc.net.au/news/2018-09-02/modern-china-and-the-legacy-of-the-opium-wars/10172386#1</w:t>
      </w:r>
      <w:r>
        <w:rPr>
          <w:rStyle w:val="InternetLink"/>
        </w:rPr>
        <w:fldChar w:fldCharType="end"/>
      </w:r>
      <w:r>
        <w:rPr/>
        <w:t xml:space="preserve"> — accessed 2026-10-24</w:t>
      </w:r>
    </w:p>
    <w:p>
      <w:pPr>
        <w:pStyle w:val="Compact"/>
        <w:numPr>
          <w:ilvl w:val="0"/>
          <w:numId w:val="51"/>
        </w:numPr>
        <w:rPr/>
      </w:pPr>
      <w:r>
        <w:rPr/>
        <w:t xml:space="preserve">The changes in the trade between China and the West in the mid-19th century - Your download is now in progress and you may close this window — www.tandfonline.com — </w:t>
      </w:r>
      <w:r>
        <w:fldChar w:fldCharType="begin"/>
      </w:r>
      <w:r>
        <w:rPr>
          <w:rStyle w:val="InternetLink"/>
        </w:rPr>
        <w:instrText xml:space="preserve"> HYPERLINK "https://www.tandfonline.com/doi/abs/10.1080/17535654.2024.2500814" \l "1"</w:instrText>
      </w:r>
      <w:r>
        <w:rPr>
          <w:rStyle w:val="InternetLink"/>
        </w:rPr>
        <w:fldChar w:fldCharType="separate"/>
      </w:r>
      <w:r>
        <w:rPr>
          <w:rStyle w:val="InternetLink"/>
        </w:rPr>
        <w:t>https://www.tandfonline.com/doi/abs/10.1080/17535654.2024.2500814#1</w:t>
      </w:r>
      <w:r>
        <w:rPr>
          <w:rStyle w:val="InternetLink"/>
        </w:rPr>
        <w:fldChar w:fldCharType="end"/>
      </w:r>
      <w:r>
        <w:rPr/>
        <w:t xml:space="preserve"> — accessed 2026-10-24</w:t>
      </w:r>
    </w:p>
    <w:p>
      <w:pPr>
        <w:pStyle w:val="Compact"/>
        <w:numPr>
          <w:ilvl w:val="0"/>
          <w:numId w:val="52"/>
        </w:numPr>
        <w:rPr/>
      </w:pPr>
      <w:r>
        <w:rPr/>
        <w:t xml:space="preserve">Full text of “The natural history of the raw materials of commerce. With a copious list of commercial terms in several languages” - Chmi — archive.org — </w:t>
      </w:r>
      <w:r>
        <w:fldChar w:fldCharType="begin"/>
      </w:r>
      <w:r>
        <w:rPr>
          <w:rStyle w:val="InternetLink"/>
        </w:rPr>
        <w:instrText xml:space="preserve"> HYPERLINK "https://archive.org/stream/naturalhistoryr00yeatgoog/naturalhistoryr00yeatgoog_djvu.txt" \l "22"</w:instrText>
      </w:r>
      <w:r>
        <w:rPr>
          <w:rStyle w:val="InternetLink"/>
        </w:rPr>
        <w:fldChar w:fldCharType="separate"/>
      </w:r>
      <w:r>
        <w:rPr>
          <w:rStyle w:val="InternetLink"/>
        </w:rPr>
        <w:t>https://archive.org/stream/naturalhistoryr00yeatgoog/naturalhistoryr00yeatgoog_djvu.txt#22</w:t>
      </w:r>
      <w:r>
        <w:rPr>
          <w:rStyle w:val="InternetLink"/>
        </w:rPr>
        <w:fldChar w:fldCharType="end"/>
      </w:r>
      <w:r>
        <w:rPr/>
        <w:t xml:space="preserve"> — accessed 2026-10-24</w:t>
      </w:r>
    </w:p>
    <w:p>
      <w:pPr>
        <w:pStyle w:val="Compact"/>
        <w:numPr>
          <w:ilvl w:val="0"/>
          <w:numId w:val="53"/>
        </w:numPr>
        <w:rPr/>
      </w:pPr>
      <w:r>
        <w:rPr/>
        <w:t xml:space="preserve">University of Macau Library — libdigital.um.edu.mo — </w:t>
      </w:r>
      <w:hyperlink r:id="rId33">
        <w:r>
          <w:rPr>
            <w:rStyle w:val="InternetLink"/>
          </w:rPr>
          <w:t>http://libdigital.um.edu.mo/macau-periodical/show/p156-960-39?from=journal_title</w:t>
        </w:r>
      </w:hyperlink>
      <w:r>
        <w:rPr/>
        <w:t xml:space="preserve"> — accessed 2026-10-24</w:t>
      </w:r>
    </w:p>
    <w:p>
      <w:pPr>
        <w:pStyle w:val="Compact"/>
        <w:numPr>
          <w:ilvl w:val="0"/>
          <w:numId w:val="54"/>
        </w:numPr>
        <w:rPr/>
      </w:pPr>
      <w:r>
        <w:rPr/>
        <w:t xml:space="preserve">中国与英属印度茶学知识的交流互鉴 — </w:t>
      </w:r>
      <w:r>
        <w:rPr/>
        <w:t xml:space="preserve">cssn.cn — </w:t>
      </w:r>
      <w:r>
        <w:fldChar w:fldCharType="begin"/>
      </w:r>
      <w:r>
        <w:rPr>
          <w:rStyle w:val="InternetLink"/>
        </w:rPr>
        <w:instrText xml:space="preserve"> HYPERLINK "https://cssn.cn/skgz/bwyc/202501/t20250108_5831674.shtml" \l "1"</w:instrText>
      </w:r>
      <w:r>
        <w:rPr>
          <w:rStyle w:val="InternetLink"/>
        </w:rPr>
        <w:fldChar w:fldCharType="separate"/>
      </w:r>
      <w:r>
        <w:rPr>
          <w:rStyle w:val="InternetLink"/>
        </w:rPr>
        <w:t>https://cssn.cn/skgz/bwyc/202501/t20250108_5831674.shtml#1</w:t>
      </w:r>
      <w:r>
        <w:rPr>
          <w:rStyle w:val="InternetLink"/>
        </w:rPr>
        <w:fldChar w:fldCharType="end"/>
      </w:r>
      <w:r>
        <w:rPr/>
        <w:t xml:space="preserve"> — accessed 2026-10-24</w:t>
      </w:r>
    </w:p>
    <w:p>
      <w:pPr>
        <w:pStyle w:val="Compact"/>
        <w:numPr>
          <w:ilvl w:val="0"/>
          <w:numId w:val="55"/>
        </w:numPr>
        <w:rPr/>
      </w:pPr>
      <w:r>
        <w:rPr/>
        <w:t>数字报</w:t>
      </w:r>
      <w:r>
        <w:rPr/>
        <w:t>-</w:t>
      </w:r>
      <w:r>
        <w:rPr/>
        <w:t xml:space="preserve">中国社会科学杂志社 — </w:t>
      </w:r>
      <w:r>
        <w:rPr/>
        <w:t xml:space="preserve">epaper.csstoday.cn — </w:t>
      </w:r>
      <w:hyperlink r:id="rId34">
        <w:r>
          <w:rPr>
            <w:rStyle w:val="InternetLink"/>
          </w:rPr>
          <w:t>https://epaper.csstoday.cn/epaper/read.do?m=i&amp;iid=7004&amp;eid=50624&amp;sid=234554&amp;idate=12_2025-01-08_A06</w:t>
        </w:r>
      </w:hyperlink>
      <w:r>
        <w:rPr/>
        <w:t xml:space="preserve"> — accessed 2026-10-24</w:t>
      </w:r>
    </w:p>
    <w:p>
      <w:pPr>
        <w:pStyle w:val="Compact"/>
        <w:numPr>
          <w:ilvl w:val="0"/>
          <w:numId w:val="56"/>
        </w:numPr>
        <w:rPr/>
      </w:pPr>
      <w:r>
        <w:rPr/>
        <w:t xml:space="preserve">茶世界 — </w:t>
      </w:r>
      <w:r>
        <w:rPr/>
        <w:t xml:space="preserve">www.dpm.org.cn — </w:t>
      </w:r>
      <w:hyperlink r:id="rId35">
        <w:r>
          <w:rPr>
            <w:rStyle w:val="InternetLink"/>
          </w:rPr>
          <w:t>https://www.dpm.org.cn/subject_tea/</w:t>
        </w:r>
      </w:hyperlink>
      <w:r>
        <w:rPr/>
        <w:t xml:space="preserve"> — accessed 2026-10-24</w:t>
      </w:r>
    </w:p>
    <w:p>
      <w:pPr>
        <w:pStyle w:val="Compact"/>
        <w:numPr>
          <w:ilvl w:val="0"/>
          <w:numId w:val="57"/>
        </w:numPr>
        <w:rPr/>
      </w:pPr>
      <w:r>
        <w:rPr/>
        <w:t xml:space="preserve">Green Jea | 29 | Botanical Medicines | Taylor &amp; Francis eBooks, Refere — www.taylorfrancis.com — </w:t>
      </w:r>
      <w:hyperlink r:id="rId36">
        <w:r>
          <w:rPr>
            <w:rStyle w:val="InternetLink"/>
          </w:rPr>
          <w:t>https://www.taylorfrancis.com/chapters/edit/10.4324/9780203048368-29/green-jea?context=ubx</w:t>
        </w:r>
      </w:hyperlink>
      <w:r>
        <w:rPr/>
        <w:t xml:space="preserve"> — accessed 2026-10-24</w:t>
      </w:r>
    </w:p>
    <w:p>
      <w:pPr>
        <w:pStyle w:val="Compact"/>
        <w:numPr>
          <w:ilvl w:val="0"/>
          <w:numId w:val="58"/>
        </w:numPr>
        <w:rPr/>
      </w:pPr>
      <w:r>
        <w:rPr/>
        <w:t>条目详情</w:t>
      </w:r>
      <w:r>
        <w:rPr/>
        <w:t>-</w:t>
      </w:r>
      <w:r>
        <w:rPr/>
        <w:t xml:space="preserve">中国大百科全书数据库 — </w:t>
      </w:r>
      <w:r>
        <w:rPr/>
        <w:t xml:space="preserve">h.bkzx.cn — </w:t>
      </w:r>
      <w:r>
        <w:fldChar w:fldCharType="begin"/>
      </w:r>
      <w:r>
        <w:rPr>
          <w:rStyle w:val="InternetLink"/>
        </w:rPr>
        <w:instrText xml:space="preserve"> HYPERLINK "https://h.bkzx.cn/knowledge/1709" \l "1"</w:instrText>
      </w:r>
      <w:r>
        <w:rPr>
          <w:rStyle w:val="InternetLink"/>
        </w:rPr>
        <w:fldChar w:fldCharType="separate"/>
      </w:r>
      <w:r>
        <w:rPr>
          <w:rStyle w:val="InternetLink"/>
        </w:rPr>
        <w:t>https://h.bkzx.cn/knowledge/1709#1</w:t>
      </w:r>
      <w:r>
        <w:rPr>
          <w:rStyle w:val="InternetLink"/>
        </w:rPr>
        <w:fldChar w:fldCharType="end"/>
      </w:r>
      <w:r>
        <w:rPr/>
        <w:t xml:space="preserve"> — accessed 2026-10-24</w:t>
      </w:r>
    </w:p>
    <w:p>
      <w:pPr>
        <w:pStyle w:val="Compact"/>
        <w:numPr>
          <w:ilvl w:val="0"/>
          <w:numId w:val="59"/>
        </w:numPr>
        <w:rPr/>
      </w:pPr>
      <w:r>
        <w:rPr/>
        <w:t xml:space="preserve">让中国茶艺走向世界 — </w:t>
      </w:r>
      <w:r>
        <w:rPr/>
        <w:t xml:space="preserve">www.ctma.com.cn — </w:t>
      </w:r>
      <w:hyperlink r:id="rId37">
        <w:r>
          <w:rPr>
            <w:rStyle w:val="InternetLink"/>
          </w:rPr>
          <w:t>https://www.ctma.com.cn/all/2460.html</w:t>
        </w:r>
      </w:hyperlink>
      <w:r>
        <w:rPr/>
        <w:t xml:space="preserve"> — accessed 2026-10-24</w:t>
      </w:r>
    </w:p>
    <w:p>
      <w:pPr>
        <w:pStyle w:val="Compact"/>
        <w:numPr>
          <w:ilvl w:val="0"/>
          <w:numId w:val="60"/>
        </w:numPr>
        <w:rPr/>
      </w:pPr>
      <w:r>
        <w:rPr/>
        <w:t xml:space="preserve">www.biodiversity-science.net — </w:t>
      </w:r>
      <w:hyperlink r:id="rId38">
        <w:r>
          <w:rPr>
            <w:rStyle w:val="InternetLink"/>
          </w:rPr>
          <w:t>https://www.biodiversity-science.net/CN/article/getTxtFile.do?fileType=EndNote&amp;id=29199</w:t>
        </w:r>
      </w:hyperlink>
      <w:r>
        <w:rPr/>
        <w:t xml:space="preserve"> — accessed 2026-10-24</w:t>
      </w:r>
    </w:p>
    <w:p>
      <w:pPr>
        <w:pStyle w:val="Compact"/>
        <w:numPr>
          <w:ilvl w:val="0"/>
          <w:numId w:val="61"/>
        </w:numPr>
        <w:rPr/>
      </w:pPr>
      <w:r>
        <w:rPr/>
        <w:t xml:space="preserve">From the Wild to the Cup: Tracking Footprints of the Tea Species in Time and Space - FAO AGRIS - International System for Agricultural Science and Technology — agris.fao.org — </w:t>
      </w:r>
      <w:r>
        <w:fldChar w:fldCharType="begin"/>
      </w:r>
      <w:r>
        <w:rPr>
          <w:rStyle w:val="InternetLink"/>
        </w:rPr>
        <w:instrText xml:space="preserve"> HYPERLINK "https://agris.fao.org/search/en/records/675975f2c7a957febdf782c6" \l "1"</w:instrText>
      </w:r>
      <w:r>
        <w:rPr>
          <w:rStyle w:val="InternetLink"/>
        </w:rPr>
        <w:fldChar w:fldCharType="separate"/>
      </w:r>
      <w:r>
        <w:rPr>
          <w:rStyle w:val="InternetLink"/>
        </w:rPr>
        <w:t>https://agris.fao.org/search/en/records/675975f2c7a957febdf782c6#1</w:t>
      </w:r>
      <w:r>
        <w:rPr>
          <w:rStyle w:val="InternetLink"/>
        </w:rPr>
        <w:fldChar w:fldCharType="end"/>
      </w:r>
      <w:r>
        <w:rPr/>
        <w:t xml:space="preserve"> — accessed 2026-10-24</w:t>
      </w:r>
    </w:p>
    <w:p>
      <w:pPr>
        <w:pStyle w:val="Compact"/>
        <w:numPr>
          <w:ilvl w:val="0"/>
          <w:numId w:val="62"/>
        </w:numPr>
        <w:rPr/>
      </w:pPr>
      <w:r>
        <w:rPr/>
        <w:t xml:space="preserve">期刊界 </w:t>
      </w:r>
      <w:r>
        <w:rPr/>
        <w:t xml:space="preserve">All Journals </w:t>
      </w:r>
      <w:r>
        <w:rPr/>
        <w:t xml:space="preserve">搜尽天下杂志 传播学术成果 专业期刊搜索 期刊信息化 学术搜索 — </w:t>
      </w:r>
      <w:r>
        <w:rPr/>
        <w:t xml:space="preserve">biosci.alljournals.cn — </w:t>
      </w:r>
      <w:hyperlink r:id="rId39">
        <w:r>
          <w:rPr>
            <w:rStyle w:val="InternetLink"/>
          </w:rPr>
          <w:t>https://biosci.alljournals.cn/relate_search.aspx?pcid=90BA3D13E7F3BC869AC96FB3DA594E3FE34FBF7B8BC0E591&amp;aid=E5DB1C7B1DF094F0B7A25937B4B92290&amp;language=0&amp;ctl=19&amp;etl=0</w:t>
        </w:r>
      </w:hyperlink>
      <w:r>
        <w:rPr/>
        <w:t xml:space="preserve"> — accessed 2026-10-24</w:t>
      </w:r>
    </w:p>
    <w:p>
      <w:pPr>
        <w:pStyle w:val="Compact"/>
        <w:numPr>
          <w:ilvl w:val="0"/>
          <w:numId w:val="63"/>
        </w:numPr>
        <w:rPr/>
      </w:pPr>
      <w:r>
        <w:rPr/>
        <w:t xml:space="preserve">public-pages-files-2025.frontiersin.org — </w:t>
      </w:r>
      <w:hyperlink r:id="rId40">
        <w:r>
          <w:rPr>
            <w:rStyle w:val="InternetLink"/>
          </w:rPr>
          <w:t>https://public-pages-files-2025.frontiersin.org/journals/nutrition/articles/10.3389/fnut.2021.706770/text</w:t>
        </w:r>
      </w:hyperlink>
      <w:r>
        <w:rPr/>
        <w:t xml:space="preserve"> — accessed 2026-10-24</w:t>
      </w:r>
    </w:p>
    <w:p>
      <w:pPr>
        <w:pStyle w:val="Compact"/>
        <w:numPr>
          <w:ilvl w:val="0"/>
          <w:numId w:val="64"/>
        </w:numPr>
        <w:rPr/>
      </w:pPr>
      <w:r>
        <w:rPr/>
        <w:t xml:space="preserve">Title: | From the Wild to the Cup: Tracking Footprints of the Tea Species in Time and Space — julib.fz-juelich.de — </w:t>
      </w:r>
      <w:r>
        <w:fldChar w:fldCharType="begin"/>
      </w:r>
      <w:r>
        <w:rPr>
          <w:rStyle w:val="InternetLink"/>
        </w:rPr>
        <w:instrText xml:space="preserve"> HYPERLINK "https://julib.fz-juelich.de/vufind/EdsRecord/edsdoj,edsdoj.fb0f79891e5749aa8e02f81a4ee668d7" \l "1"</w:instrText>
      </w:r>
      <w:r>
        <w:rPr>
          <w:rStyle w:val="InternetLink"/>
        </w:rPr>
        <w:fldChar w:fldCharType="separate"/>
      </w:r>
      <w:r>
        <w:rPr>
          <w:rStyle w:val="InternetLink"/>
        </w:rPr>
        <w:t>https://julib.fz-juelich.de/vufind/EdsRecord/edsdoj,edsdoj.fb0f79891e5749aa8e02f81a4ee668d7#1</w:t>
      </w:r>
      <w:r>
        <w:rPr>
          <w:rStyle w:val="InternetLink"/>
        </w:rPr>
        <w:fldChar w:fldCharType="end"/>
      </w:r>
      <w:r>
        <w:rPr/>
        <w:t xml:space="preserve"> — accessed 2026-10-24</w:t>
      </w:r>
    </w:p>
    <w:p>
      <w:pPr>
        <w:pStyle w:val="Compact"/>
        <w:numPr>
          <w:ilvl w:val="0"/>
          <w:numId w:val="65"/>
        </w:numPr>
        <w:rPr/>
      </w:pPr>
      <w:r>
        <w:rPr/>
        <w:t xml:space="preserve">沈冬梅：茶的古今传承 </w:t>
      </w:r>
      <w:r>
        <w:rPr/>
        <w:t xml:space="preserve">- </w:t>
      </w:r>
      <w:r>
        <w:rPr/>
        <w:t xml:space="preserve">沈冬梅：茶的古今传承 — </w:t>
      </w:r>
      <w:r>
        <w:rPr/>
        <w:t xml:space="preserve">www.zhongguoguoqing.cn — </w:t>
      </w:r>
      <w:r>
        <w:fldChar w:fldCharType="begin"/>
      </w:r>
      <w:r>
        <w:rPr>
          <w:rStyle w:val="InternetLink"/>
        </w:rPr>
        <w:instrText xml:space="preserve"> HYPERLINK "https://www.zhongguoguoqing.cn/gqzs/gqjt/201904/t20190430_5038265.shtml" \l "1"</w:instrText>
      </w:r>
      <w:r>
        <w:rPr>
          <w:rStyle w:val="InternetLink"/>
        </w:rPr>
        <w:fldChar w:fldCharType="separate"/>
      </w:r>
      <w:r>
        <w:rPr>
          <w:rStyle w:val="InternetLink"/>
        </w:rPr>
        <w:t>https://www.zhongguoguoqing.cn/gqzs/gqjt/201904/t20190430_5038265.shtml#1</w:t>
      </w:r>
      <w:r>
        <w:rPr>
          <w:rStyle w:val="InternetLink"/>
        </w:rPr>
        <w:fldChar w:fldCharType="end"/>
      </w:r>
      <w:r>
        <w:rPr/>
        <w:t xml:space="preserve"> — accessed 2026-10-24</w:t>
      </w:r>
    </w:p>
    <w:p>
      <w:pPr>
        <w:pStyle w:val="Compact"/>
        <w:numPr>
          <w:ilvl w:val="0"/>
          <w:numId w:val="66"/>
        </w:numPr>
        <w:rPr/>
      </w:pPr>
      <w:r>
        <w:rPr/>
        <w:t xml:space="preserve">沈冬梅：茶的古今传承 — </w:t>
      </w:r>
      <w:r>
        <w:rPr/>
        <w:t xml:space="preserve">zhongguoguoqing.cssn.cn — </w:t>
      </w:r>
      <w:hyperlink r:id="rId41">
        <w:r>
          <w:rPr>
            <w:rStyle w:val="InternetLink"/>
          </w:rPr>
          <w:t>http://zhongguoguoqing.cssn.cn/gqzs/gqjt/201904/t20190430_5038265.shtml</w:t>
        </w:r>
      </w:hyperlink>
      <w:r>
        <w:rPr/>
        <w:t xml:space="preserve"> — accessed 2026-10-24</w:t>
      </w:r>
    </w:p>
    <w:p>
      <w:pPr>
        <w:pStyle w:val="Compact"/>
        <w:numPr>
          <w:ilvl w:val="0"/>
          <w:numId w:val="67"/>
        </w:numPr>
        <w:rPr/>
      </w:pPr>
      <w:r>
        <w:rPr/>
        <w:t xml:space="preserve">Chinese were cultivating tea before the pyramids were built — www.dailymail.com — </w:t>
      </w:r>
      <w:hyperlink r:id="rId42">
        <w:r>
          <w:rPr>
            <w:rStyle w:val="InternetLink"/>
          </w:rPr>
          <w:t>https://www.dailymail.com/news/article-3147029/Chinese-cultivating-tea-6-000-years-ago-3-000-years-oldest-Pyramid-built.html</w:t>
        </w:r>
      </w:hyperlink>
      <w:r>
        <w:rPr/>
        <w:t xml:space="preserve"> — accessed 2026-10-24</w:t>
      </w:r>
    </w:p>
    <w:p>
      <w:pPr>
        <w:pStyle w:val="Compact"/>
        <w:numPr>
          <w:ilvl w:val="0"/>
          <w:numId w:val="68"/>
        </w:numPr>
        <w:rPr/>
      </w:pPr>
      <w:r>
        <w:rPr/>
        <w:t xml:space="preserve">Hangzhou Bay could be traced back to the mountainous Shangshan Culture (ca — english.sklec.ecnu.edu.cn — </w:t>
      </w:r>
      <w:r>
        <w:fldChar w:fldCharType="begin"/>
      </w:r>
      <w:r>
        <w:rPr>
          <w:rStyle w:val="InternetLink"/>
        </w:rPr>
        <w:instrText xml:space="preserve"> HYPERLINK "http://english.sklec.ecnu.edu.cn/sites/default/files/109-刘演孙千里陈静陈中原.pdf" \l "5%235%235"</w:instrText>
      </w:r>
      <w:r>
        <w:rPr>
          <w:rStyle w:val="InternetLink"/>
        </w:rPr>
        <w:fldChar w:fldCharType="separate"/>
      </w:r>
      <w:r>
        <w:rPr>
          <w:rStyle w:val="InternetLink"/>
        </w:rPr>
        <w:t>http://english.sklec.ecnu.edu.cn/sites/default/files/109-%E5%88%98%E6%BC%94%E5%AD%99%E5%8D%83%E9%87%8C%E9%99%88%E9%9D%99%E9%99%88%E4%B8%AD%E5%8E%9F.pdf#5%235%235</w:t>
      </w:r>
      <w:r>
        <w:rPr>
          <w:rStyle w:val="InternetLink"/>
        </w:rPr>
        <w:fldChar w:fldCharType="end"/>
      </w:r>
      <w:r>
        <w:rPr/>
        <w:t xml:space="preserve"> — accessed 2026-10-24</w:t>
      </w:r>
    </w:p>
    <w:p>
      <w:pPr>
        <w:pStyle w:val="Compact"/>
        <w:numPr>
          <w:ilvl w:val="0"/>
          <w:numId w:val="69"/>
        </w:numPr>
        <w:rPr/>
      </w:pPr>
      <w:r>
        <w:rPr/>
        <w:t xml:space="preserve">Songze Period (Shanghai Cultural Heritage Bureau 1985; Zhejiang Provincial Institute of Cultural Relics and Archaeology et al — pennds.org — </w:t>
      </w:r>
      <w:r>
        <w:fldChar w:fldCharType="begin"/>
      </w:r>
      <w:r>
        <w:rPr>
          <w:rStyle w:val="InternetLink"/>
        </w:rPr>
        <w:instrText xml:space="preserve"> HYPERLINK "https://pennds.org/archaeobib/files/original/76ee82f4b869ddacc3719ebf507910fd.pdf" \l "2%236%232"</w:instrText>
      </w:r>
      <w:r>
        <w:rPr>
          <w:rStyle w:val="InternetLink"/>
        </w:rPr>
        <w:fldChar w:fldCharType="separate"/>
      </w:r>
      <w:r>
        <w:rPr>
          <w:rStyle w:val="InternetLink"/>
        </w:rPr>
        <w:t>https://pennds.org/archaeobib/files/original/76ee82f4b869ddacc3719ebf507910fd.pdf#2%236%232</w:t>
      </w:r>
      <w:r>
        <w:rPr>
          <w:rStyle w:val="InternetLink"/>
        </w:rPr>
        <w:fldChar w:fldCharType="end"/>
      </w:r>
      <w:r>
        <w:rPr/>
        <w:t xml:space="preserve"> — accessed 2026-10-24</w:t>
      </w:r>
    </w:p>
    <w:p>
      <w:pPr>
        <w:pStyle w:val="Compact"/>
        <w:numPr>
          <w:ilvl w:val="0"/>
          <w:numId w:val="70"/>
        </w:numPr>
        <w:rPr/>
      </w:pPr>
      <w:r>
        <w:rPr/>
        <w:t xml:space="preserve">Additional support for rice cultivation at Tianluoshan is provided by the accompanying species, which include many likely anable... — www.soaa.zju.edu.cn — </w:t>
      </w:r>
      <w:r>
        <w:fldChar w:fldCharType="begin"/>
      </w:r>
      <w:r>
        <w:rPr>
          <w:rStyle w:val="InternetLink"/>
        </w:rPr>
        <w:instrText xml:space="preserve"> HYPERLINK "http://www.soaa.zju.edu.cn/_upload/article/files/04/be/0faa3f0a4b44bbcfda4f21da0ec1/8967d0f6-1689-4e4c-8795-41984d75bdab.pdf" \l "2%232%232"</w:instrText>
      </w:r>
      <w:r>
        <w:rPr>
          <w:rStyle w:val="InternetLink"/>
        </w:rPr>
        <w:fldChar w:fldCharType="separate"/>
      </w:r>
      <w:r>
        <w:rPr>
          <w:rStyle w:val="InternetLink"/>
        </w:rPr>
        <w:t>http://www.soaa.zju.edu.cn/_upload/article/files/04/be/0faa3f0a4b44bbcfda4f21da0ec1/8967d0f6-1689-4e4c-8795-41984d75bdab.pdf#2%232%232</w:t>
      </w:r>
      <w:r>
        <w:rPr>
          <w:rStyle w:val="InternetLink"/>
        </w:rPr>
        <w:fldChar w:fldCharType="end"/>
      </w:r>
      <w:r>
        <w:rPr/>
        <w:t xml:space="preserve"> — accessed 2026-10-24</w:t>
      </w:r>
    </w:p>
    <w:p>
      <w:pPr>
        <w:pStyle w:val="Compact"/>
        <w:numPr>
          <w:ilvl w:val="0"/>
          <w:numId w:val="71"/>
        </w:numPr>
        <w:rPr/>
      </w:pPr>
      <w:r>
        <w:rPr/>
        <w:t xml:space="preserve">Zhaoliang Zhang, Tianyuan Yang, and Shupei Zhang conceived and designed the research — pubs-acs-org-443.webvpna.lzu.edu.cn — </w:t>
      </w:r>
      <w:r>
        <w:fldChar w:fldCharType="begin"/>
      </w:r>
      <w:r>
        <w:rPr>
          <w:rStyle w:val="InternetLink"/>
        </w:rPr>
        <w:instrText xml:space="preserve"> HYPERLINK "https://pubs-acs-org-443.webvpna.lzu.edu.cn/doi/pdf/10.1021/acs.jafc.1c02589" \l "6%236%236"</w:instrText>
      </w:r>
      <w:r>
        <w:rPr>
          <w:rStyle w:val="InternetLink"/>
        </w:rPr>
        <w:fldChar w:fldCharType="separate"/>
      </w:r>
      <w:r>
        <w:rPr>
          <w:rStyle w:val="InternetLink"/>
        </w:rPr>
        <w:t>https://pubs-acs-org-443.webvpna.lzu.edu.cn/doi/pdf/10.1021/acs.jafc.1c02589#6%236%236</w:t>
      </w:r>
      <w:r>
        <w:rPr>
          <w:rStyle w:val="InternetLink"/>
        </w:rPr>
        <w:fldChar w:fldCharType="end"/>
      </w:r>
      <w:r>
        <w:rPr/>
        <w:t xml:space="preserve"> — accessed 2026-10-24</w:t>
      </w:r>
      <w:bookmarkEnd w:id="56"/>
    </w:p>
    <w:p>
      <w:pPr>
        <w:pStyle w:val="Heading1"/>
        <w:rPr/>
      </w:pPr>
      <w:bookmarkStart w:id="57" w:name="__RefHeading___Toc1159_3383370932"/>
      <w:bookmarkStart w:id="58" w:name="fact-check"/>
      <w:bookmarkEnd w:id="57"/>
      <w:r>
        <w:rPr/>
        <w:t>Fact check</w:t>
      </w:r>
    </w:p>
    <w:p>
      <w:pPr>
        <w:pStyle w:val="Compact"/>
        <w:numPr>
          <w:ilvl w:val="0"/>
          <w:numId w:val="72"/>
        </w:numPr>
        <w:rPr/>
      </w:pPr>
      <w:r>
        <w:rPr/>
        <w:t>C01 · not fully checked · Chapter 1 — not every cited page could be read in full</w:t>
      </w:r>
    </w:p>
    <w:p>
      <w:pPr>
        <w:pStyle w:val="Compact"/>
        <w:numPr>
          <w:ilvl w:val="0"/>
          <w:numId w:val="73"/>
        </w:numPr>
        <w:rPr/>
      </w:pPr>
      <w:r>
        <w:rPr/>
        <w:t>C02 · confirmed · Chapter 3 — “Modern genetic and botanical syntheses characterize cultivated tea as a genomically heterogeneous crop shaped by multiple local domestication/selection events and extensive introgression from wild Camellia relatives, rather than by a single, uncontested domestication locus or singular founding population [74][79][80].” [80]</w:t>
      </w:r>
    </w:p>
    <w:p>
      <w:pPr>
        <w:pStyle w:val="Compact"/>
        <w:numPr>
          <w:ilvl w:val="0"/>
          <w:numId w:val="74"/>
        </w:numPr>
        <w:rPr/>
      </w:pPr>
      <w:r>
        <w:rPr/>
        <w:t>C03 · not fully checked · Chapter 4 — not every cited page could be read in full</w:t>
      </w:r>
    </w:p>
    <w:p>
      <w:pPr>
        <w:pStyle w:val="Compact"/>
        <w:numPr>
          <w:ilvl w:val="0"/>
          <w:numId w:val="75"/>
        </w:numPr>
        <w:rPr/>
      </w:pPr>
      <w:r>
        <w:rPr/>
        <w:t>C04 · not fully checked · Chapter 5 — the cited pages could not be read</w:t>
      </w:r>
    </w:p>
    <w:p>
      <w:pPr>
        <w:pStyle w:val="Compact"/>
        <w:numPr>
          <w:ilvl w:val="0"/>
          <w:numId w:val="76"/>
        </w:numPr>
        <w:rPr/>
      </w:pPr>
      <w:r>
        <w:rPr/>
        <w:t>C05 · not fully checked · Chapter 6 — the check returned no verdict</w:t>
      </w:r>
    </w:p>
    <w:p>
      <w:pPr>
        <w:pStyle w:val="Compact"/>
        <w:numPr>
          <w:ilvl w:val="0"/>
          <w:numId w:val="77"/>
        </w:numPr>
        <w:rPr/>
      </w:pPr>
      <w:r>
        <w:rPr/>
        <w:t>C06 · not fully checked · Chapter 7 — not every cited page could be read in full</w:t>
      </w:r>
    </w:p>
    <w:p>
      <w:pPr>
        <w:pStyle w:val="Compact"/>
        <w:numPr>
          <w:ilvl w:val="0"/>
          <w:numId w:val="78"/>
        </w:numPr>
        <w:rPr/>
      </w:pPr>
      <w:r>
        <w:rPr/>
        <w:t>C07 · not fully checked · Chapter 8 — the check returned no verdict</w:t>
      </w:r>
    </w:p>
    <w:p>
      <w:pPr>
        <w:pStyle w:val="Compact"/>
        <w:numPr>
          <w:ilvl w:val="0"/>
          <w:numId w:val="79"/>
        </w:numPr>
        <w:spacing w:before="36" w:after="36"/>
        <w:rPr/>
      </w:pPr>
      <w:bookmarkStart w:id="59" w:name="fact-check"/>
      <w:r>
        <w:rPr/>
        <w:t>C08 · not fully checked · Chapter 2 — the check returned no verdict</w:t>
      </w:r>
      <w:bookmarkEnd w:id="59"/>
    </w:p>
    <w:sectPr>
      <w:type w:val="nextPage"/>
      <w:pgSz w:w="12240" w:h="15840"/>
      <w:pgMar w:left="1440" w:right="1440" w:gutter="0" w:header="0" w:top="1440" w:footer="0" w:bottom="144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DejaVu Serif">
    <w:charset w:val="01"/>
    <w:family w:val="roman"/>
    <w:pitch w:val="variable"/>
  </w:font>
  <w:font w:name="Aptos">
    <w:charset w:val="01"/>
    <w:family w:val="roman"/>
    <w:pitch w:val="variable"/>
  </w:font>
  <w:font w:name="Aptos Display">
    <w:charset w:val="01"/>
    <w:family w:val="roman"/>
    <w:pitch w:val="variable"/>
  </w:font>
  <w:font w:name="Consolas">
    <w:charset w:val="01"/>
    <w:family w:val="roman"/>
    <w:pitch w:val="variable"/>
  </w:font>
  <w:font w:name="DejaVu Sans">
    <w:charset w:val="01"/>
    <w:family w:val="swiss"/>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720" w:hanging="360"/>
      </w:pPr>
      <w:rPr>
        <w:rFonts w:ascii="Symbol" w:hAnsi="Symbol" w:cs="Symbol" w:hint="default"/>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Symbol" w:hAnsi="Symbol" w:cs="Symbol"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Symbol" w:hAnsi="Symbol" w:cs="Symbol"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2">
    <w:lvl w:ilvl="0">
      <w:numFmt w:val="bullet"/>
      <w:lvlText w:val=""/>
      <w:lvlJc w:val="left"/>
      <w:pPr>
        <w:tabs>
          <w:tab w:val="num" w:pos="0"/>
        </w:tabs>
        <w:ind w:left="720" w:hanging="360"/>
      </w:pPr>
      <w:rPr>
        <w:rFonts w:ascii="Symbol" w:hAnsi="Symbol" w:cs="Symbol" w:hint="default"/>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Symbol" w:hAnsi="Symbol" w:cs="Symbol"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Symbol" w:hAnsi="Symbol" w:cs="Symbol"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3">
    <w:lvl w:ilvl="0">
      <w:numFmt w:val="bullet"/>
      <w:lvlText w:val=""/>
      <w:lvlJc w:val="left"/>
      <w:pPr>
        <w:tabs>
          <w:tab w:val="num" w:pos="0"/>
        </w:tabs>
        <w:ind w:left="720" w:hanging="360"/>
      </w:pPr>
      <w:rPr>
        <w:rFonts w:ascii="Symbol" w:hAnsi="Symbol" w:cs="Symbol" w:hint="default"/>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Symbol" w:hAnsi="Symbol" w:cs="Symbol"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Symbol" w:hAnsi="Symbol" w:cs="Symbol"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4">
    <w:lvl w:ilvl="0">
      <w:numFmt w:val="bullet"/>
      <w:lvlText w:val=""/>
      <w:lvlJc w:val="left"/>
      <w:pPr>
        <w:tabs>
          <w:tab w:val="num" w:pos="0"/>
        </w:tabs>
        <w:ind w:left="720" w:hanging="360"/>
      </w:pPr>
      <w:rPr>
        <w:rFonts w:ascii="Symbol" w:hAnsi="Symbol" w:cs="Symbol" w:hint="default"/>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Symbol" w:hAnsi="Symbol" w:cs="Symbol"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Symbol" w:hAnsi="Symbol" w:cs="Symbol"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5">
    <w:lvl w:ilvl="0">
      <w:numFmt w:val="bullet"/>
      <w:lvlText w:val=""/>
      <w:lvlJc w:val="left"/>
      <w:pPr>
        <w:tabs>
          <w:tab w:val="num" w:pos="0"/>
        </w:tabs>
        <w:ind w:left="720" w:hanging="360"/>
      </w:pPr>
      <w:rPr>
        <w:rFonts w:ascii="Symbol" w:hAnsi="Symbol" w:cs="Symbol" w:hint="default"/>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Symbol" w:hAnsi="Symbol" w:cs="Symbol"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Symbol" w:hAnsi="Symbol" w:cs="Symbol"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6">
    <w:lvl w:ilvl="0">
      <w:numFmt w:val="bullet"/>
      <w:lvlText w:val=""/>
      <w:lvlJc w:val="left"/>
      <w:pPr>
        <w:tabs>
          <w:tab w:val="num" w:pos="0"/>
        </w:tabs>
        <w:ind w:left="720" w:hanging="360"/>
      </w:pPr>
      <w:rPr>
        <w:rFonts w:ascii="Symbol" w:hAnsi="Symbol" w:cs="Symbol" w:hint="default"/>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Symbol" w:hAnsi="Symbol" w:cs="Symbol"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Symbol" w:hAnsi="Symbol" w:cs="Symbol"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 w:numId="51">
    <w:abstractNumId w:val="1"/>
  </w:num>
  <w:num w:numId="52">
    <w:abstractNumId w:val="1"/>
  </w:num>
  <w:num w:numId="53">
    <w:abstractNumId w:val="1"/>
  </w:num>
  <w:num w:numId="54">
    <w:abstractNumId w:val="1"/>
  </w:num>
  <w:num w:numId="55">
    <w:abstractNumId w:val="1"/>
  </w:num>
  <w:num w:numId="56">
    <w:abstractNumId w:val="1"/>
  </w:num>
  <w:num w:numId="57">
    <w:abstractNumId w:val="1"/>
  </w:num>
  <w:num w:numId="58">
    <w:abstractNumId w:val="1"/>
  </w:num>
  <w:num w:numId="59">
    <w:abstractNumId w:val="1"/>
  </w:num>
  <w:num w:numId="60">
    <w:abstractNumId w:val="1"/>
  </w:num>
  <w:num w:numId="61">
    <w:abstractNumId w:val="1"/>
  </w:num>
  <w:num w:numId="62">
    <w:abstractNumId w:val="1"/>
  </w:num>
  <w:num w:numId="63">
    <w:abstractNumId w:val="1"/>
  </w:num>
  <w:num w:numId="64">
    <w:abstractNumId w:val="1"/>
  </w:num>
  <w:num w:numId="65">
    <w:abstractNumId w:val="1"/>
  </w:num>
  <w:num w:numId="66">
    <w:abstractNumId w:val="1"/>
  </w:num>
  <w:num w:numId="67">
    <w:abstractNumId w:val="1"/>
  </w:num>
  <w:num w:numId="68">
    <w:abstractNumId w:val="1"/>
  </w:num>
  <w:num w:numId="69">
    <w:abstractNumId w:val="1"/>
  </w:num>
  <w:num w:numId="70">
    <w:abstractNumId w:val="1"/>
  </w:num>
  <w:num w:numId="71">
    <w:abstractNumId w:val="1"/>
  </w:num>
  <w:num w:numId="72">
    <w:abstractNumId w:val="1"/>
  </w:num>
  <w:num w:numId="73">
    <w:abstractNumId w:val="1"/>
  </w:num>
  <w:num w:numId="74">
    <w:abstractNumId w:val="1"/>
  </w:num>
  <w:num w:numId="75">
    <w:abstractNumId w:val="1"/>
  </w:num>
  <w:num w:numId="76">
    <w:abstractNumId w:val="1"/>
  </w:num>
  <w:num w:numId="77">
    <w:abstractNumId w:val="1"/>
  </w:num>
  <w:num w:numId="78">
    <w:abstractNumId w:val="1"/>
  </w:num>
  <w:num w:numId="79">
    <w:abstractNumId w:val="1"/>
  </w:num>
</w:numbering>
</file>

<file path=word/settings.xml><?xml version="1.0" encoding="utf-8"?>
<w:settings xmlns:w="http://schemas.openxmlformats.org/wordprocessingml/2006/main">
  <w:zoom w:percent="100"/>
  <w:embedSystemFonts/>
  <w:defaultTabStop w:val="720"/>
  <w:autoHyphenation w:val="true"/>
  <w:compat>
    <w:compatSetting w:name="compatibilityMode" w:uri="http://schemas.microsoft.com/office/word" w:val="12"/>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 w:cs="" w:asciiTheme="minorHAnsi" w:cstheme="minorBidi" w:eastAsiaTheme="minorEastAsia" w:hAnsiTheme="minorHAnsi"/>
        <w:sz w:val="24"/>
        <w:szCs w:val="24"/>
        <w:lang w:val="en-US" w:eastAsia="zh-CN" w:bidi="ar-SA"/>
      </w:rPr>
    </w:rPrDefault>
    <w:pPrDefault>
      <w:pPr>
        <w:suppressAutoHyphens w:val="true"/>
      </w:pPr>
    </w:pPrDefault>
  </w:docDefaults>
  <w:latentStyles w:defLockedState="0" w:defUIPriority="0" w:defSemiHidden="0" w:defUnhideWhenUsed="0" w:defQFormat="0" w:count="276"/>
  <w:style w:type="paragraph" w:styleId="Normal" w:default="1">
    <w:name w:val="Normal"/>
    <w:qFormat/>
    <w:pPr>
      <w:widowControl/>
      <w:bidi w:val="0"/>
      <w:spacing w:before="0" w:after="200"/>
      <w:jc w:val="left"/>
    </w:pPr>
    <w:rPr>
      <w:rFonts w:ascii="Aptos" w:hAnsi="Aptos" w:eastAsia="" w:cs="" w:asciiTheme="minorHAnsi" w:cstheme="minorBidi" w:eastAsiaTheme="minorEastAsia" w:hAnsiTheme="minorHAnsi"/>
      <w:color w:val="auto"/>
      <w:kern w:val="0"/>
      <w:sz w:val="24"/>
      <w:szCs w:val="24"/>
      <w:lang w:val="en-US" w:eastAsia="zh-CN" w:bidi="ar-SA"/>
    </w:rPr>
  </w:style>
  <w:style w:type="paragraph" w:styleId="Heading1">
    <w:name w:val="Heading 1"/>
    <w:basedOn w:val="Normal"/>
    <w:next w:val="TextBody"/>
    <w:link w:val="Heading1Char"/>
    <w:uiPriority w:val="9"/>
    <w:qFormat/>
    <w:rsid w:val="00a10fd9"/>
    <w:pPr>
      <w:keepNext w:val="true"/>
      <w:keepLines/>
      <w:spacing w:before="360" w:after="80"/>
      <w:outlineLvl w:val="0"/>
    </w:pPr>
    <w:rPr>
      <w:rFonts w:ascii="Aptos Display" w:hAnsi="Aptos Display" w:eastAsia="" w:cs="" w:asciiTheme="majorHAnsi" w:cstheme="majorBidi" w:eastAsiaTheme="majorEastAsia" w:hAnsiTheme="majorHAnsi"/>
      <w:color w:val="0F4761" w:themeColor="accent1" w:themeShade="bf"/>
      <w:sz w:val="40"/>
      <w:szCs w:val="40"/>
    </w:rPr>
  </w:style>
  <w:style w:type="paragraph" w:styleId="Heading2">
    <w:name w:val="Heading 2"/>
    <w:basedOn w:val="Normal"/>
    <w:next w:val="TextBody"/>
    <w:link w:val="Heading2Char"/>
    <w:uiPriority w:val="9"/>
    <w:semiHidden/>
    <w:unhideWhenUsed/>
    <w:qFormat/>
    <w:rsid w:val="00a10fd9"/>
    <w:pPr>
      <w:keepNext w:val="true"/>
      <w:keepLines/>
      <w:spacing w:before="160" w:after="80"/>
      <w:outlineLvl w:val="1"/>
    </w:pPr>
    <w:rPr>
      <w:rFonts w:ascii="Aptos Display" w:hAnsi="Aptos Display" w:eastAsia="" w:cs="" w:asciiTheme="majorHAnsi" w:cstheme="majorBidi" w:eastAsiaTheme="majorEastAsia" w:hAnsiTheme="majorHAnsi"/>
      <w:color w:val="0F4761" w:themeColor="accent1" w:themeShade="bf"/>
      <w:sz w:val="32"/>
      <w:szCs w:val="32"/>
    </w:rPr>
  </w:style>
  <w:style w:type="paragraph" w:styleId="Heading3">
    <w:name w:val="Heading 3"/>
    <w:basedOn w:val="Normal"/>
    <w:next w:val="TextBody"/>
    <w:link w:val="Heading3Char"/>
    <w:uiPriority w:val="9"/>
    <w:semiHidden/>
    <w:unhideWhenUsed/>
    <w:qFormat/>
    <w:rsid w:val="00a10fd9"/>
    <w:pPr>
      <w:keepNext w:val="true"/>
      <w:keepLines/>
      <w:spacing w:before="160" w:after="80"/>
      <w:outlineLvl w:val="2"/>
    </w:pPr>
    <w:rPr>
      <w:rFonts w:eastAsia="" w:cs="" w:cstheme="majorBidi" w:eastAsiaTheme="majorEastAsia"/>
      <w:color w:val="0F4761" w:themeColor="accent1" w:themeShade="bf"/>
      <w:sz w:val="28"/>
      <w:szCs w:val="28"/>
    </w:rPr>
  </w:style>
  <w:style w:type="paragraph" w:styleId="Heading4">
    <w:name w:val="Heading 4"/>
    <w:basedOn w:val="Normal"/>
    <w:next w:val="TextBody"/>
    <w:link w:val="Heading4Char"/>
    <w:uiPriority w:val="9"/>
    <w:semiHidden/>
    <w:unhideWhenUsed/>
    <w:qFormat/>
    <w:rsid w:val="00a10fd9"/>
    <w:pPr>
      <w:keepNext w:val="true"/>
      <w:keepLines/>
      <w:spacing w:before="80" w:after="40"/>
      <w:outlineLvl w:val="3"/>
    </w:pPr>
    <w:rPr>
      <w:rFonts w:eastAsia="" w:cs="" w:cstheme="majorBidi" w:eastAsiaTheme="majorEastAsia"/>
      <w:i/>
      <w:iCs/>
      <w:color w:val="0F4761" w:themeColor="accent1" w:themeShade="bf"/>
    </w:rPr>
  </w:style>
  <w:style w:type="paragraph" w:styleId="Heading5">
    <w:name w:val="Heading 5"/>
    <w:basedOn w:val="Normal"/>
    <w:next w:val="TextBody"/>
    <w:link w:val="Heading5Char"/>
    <w:uiPriority w:val="9"/>
    <w:semiHidden/>
    <w:unhideWhenUsed/>
    <w:qFormat/>
    <w:rsid w:val="00a10fd9"/>
    <w:pPr>
      <w:keepNext w:val="true"/>
      <w:keepLines/>
      <w:spacing w:before="80" w:after="40"/>
      <w:outlineLvl w:val="4"/>
    </w:pPr>
    <w:rPr>
      <w:rFonts w:eastAsia="" w:cs="" w:cstheme="majorBidi" w:eastAsiaTheme="majorEastAsia"/>
      <w:color w:val="0F4761" w:themeColor="accent1" w:themeShade="bf"/>
    </w:rPr>
  </w:style>
  <w:style w:type="paragraph" w:styleId="Heading6">
    <w:name w:val="Heading 6"/>
    <w:basedOn w:val="Normal"/>
    <w:next w:val="TextBody"/>
    <w:link w:val="Heading6Char"/>
    <w:uiPriority w:val="9"/>
    <w:semiHidden/>
    <w:unhideWhenUsed/>
    <w:qFormat/>
    <w:rsid w:val="00a10fd9"/>
    <w:pPr>
      <w:keepNext w:val="true"/>
      <w:keepLines/>
      <w:spacing w:before="40" w:after="0"/>
      <w:outlineLvl w:val="5"/>
    </w:pPr>
    <w:rPr>
      <w:rFonts w:eastAsia="" w:cs="" w:cstheme="majorBidi" w:eastAsiaTheme="majorEastAsia"/>
      <w:i/>
      <w:iCs/>
      <w:color w:val="595959" w:themeColor="text1" w:themeTint="a6"/>
    </w:rPr>
  </w:style>
  <w:style w:type="paragraph" w:styleId="Heading7">
    <w:name w:val="Heading 7"/>
    <w:basedOn w:val="Normal"/>
    <w:next w:val="TextBody"/>
    <w:link w:val="Heading7Char"/>
    <w:uiPriority w:val="9"/>
    <w:semiHidden/>
    <w:unhideWhenUsed/>
    <w:qFormat/>
    <w:rsid w:val="00a10fd9"/>
    <w:pPr>
      <w:keepNext w:val="true"/>
      <w:keepLines/>
      <w:spacing w:before="40" w:after="0"/>
      <w:outlineLvl w:val="6"/>
    </w:pPr>
    <w:rPr>
      <w:rFonts w:eastAsia="" w:cs="" w:cstheme="majorBidi" w:eastAsiaTheme="majorEastAsia"/>
      <w:color w:val="595959" w:themeColor="text1" w:themeTint="a6"/>
    </w:rPr>
  </w:style>
  <w:style w:type="paragraph" w:styleId="Heading8">
    <w:name w:val="Heading 8"/>
    <w:basedOn w:val="Normal"/>
    <w:next w:val="TextBody"/>
    <w:link w:val="Heading8Char"/>
    <w:uiPriority w:val="9"/>
    <w:semiHidden/>
    <w:unhideWhenUsed/>
    <w:qFormat/>
    <w:rsid w:val="00a10fd9"/>
    <w:pPr>
      <w:keepNext w:val="true"/>
      <w:keepLines/>
      <w:spacing w:before="0" w:after="0"/>
      <w:outlineLvl w:val="7"/>
    </w:pPr>
    <w:rPr>
      <w:rFonts w:eastAsia="" w:cs="" w:cstheme="majorBidi" w:eastAsiaTheme="majorEastAsia"/>
      <w:i/>
      <w:iCs/>
      <w:color w:val="272727" w:themeColor="text1" w:themeTint="d8"/>
    </w:rPr>
  </w:style>
  <w:style w:type="paragraph" w:styleId="Heading9">
    <w:name w:val="Heading 9"/>
    <w:basedOn w:val="Normal"/>
    <w:next w:val="TextBody"/>
    <w:link w:val="Heading9Char"/>
    <w:uiPriority w:val="9"/>
    <w:semiHidden/>
    <w:unhideWhenUsed/>
    <w:qFormat/>
    <w:rsid w:val="00a10fd9"/>
    <w:pPr>
      <w:keepNext w:val="true"/>
      <w:keepLines/>
      <w:spacing w:before="0" w:after="0"/>
      <w:outlineLvl w:val="8"/>
    </w:pPr>
    <w:rPr>
      <w:rFonts w:eastAsia="" w:cs="" w:cstheme="majorBidi" w:eastAsiaTheme="majorEastAsia"/>
      <w:color w:val="272727" w:themeColor="text1" w:themeTint="d8"/>
    </w:rPr>
  </w:style>
  <w:style w:type="character" w:styleId="TitleChar" w:customStyle="1">
    <w:name w:val="Title Char"/>
    <w:basedOn w:val="DefaultParagraphFont"/>
    <w:link w:val="Title"/>
    <w:uiPriority w:val="10"/>
    <w:qFormat/>
    <w:rsid w:val="00a10fd9"/>
    <w:rPr>
      <w:rFonts w:ascii="Aptos Display" w:hAnsi="Aptos Display" w:eastAsia="" w:cs="" w:asciiTheme="majorHAnsi" w:cstheme="majorBidi" w:eastAsiaTheme="majorEastAsia" w:hAnsiTheme="majorHAnsi"/>
      <w:sz w:val="56"/>
      <w:szCs w:val="56"/>
    </w:rPr>
  </w:style>
  <w:style w:type="character" w:styleId="SubtitleChar" w:customStyle="1">
    <w:name w:val="Subtitle Char"/>
    <w:basedOn w:val="DefaultParagraphFont"/>
    <w:link w:val="Subtitle"/>
    <w:uiPriority w:val="11"/>
    <w:qFormat/>
    <w:rsid w:val="00a10fd9"/>
    <w:rPr>
      <w:rFonts w:eastAsia="" w:cs="" w:cstheme="majorBidi" w:eastAsiaTheme="majorEastAsia"/>
      <w:color w:val="595959" w:themeColor="text1" w:themeTint="a6"/>
      <w:spacing w:val="15"/>
      <w:sz w:val="28"/>
      <w:szCs w:val="28"/>
    </w:rPr>
  </w:style>
  <w:style w:type="character" w:styleId="Heading1Char" w:customStyle="1">
    <w:name w:val="Heading 1 Char"/>
    <w:basedOn w:val="DefaultParagraphFont"/>
    <w:link w:val="Heading1"/>
    <w:uiPriority w:val="9"/>
    <w:qFormat/>
    <w:rsid w:val="00a10fd9"/>
    <w:rPr>
      <w:rFonts w:ascii="Aptos Display" w:hAnsi="Aptos Display" w:eastAsia="" w:cs="" w:asciiTheme="majorHAnsi" w:cstheme="majorBidi" w:eastAsiaTheme="majorEastAsia" w:hAnsiTheme="majorHAnsi"/>
      <w:color w:val="0F4761" w:themeColor="accent1" w:themeShade="bf"/>
      <w:sz w:val="40"/>
      <w:szCs w:val="40"/>
    </w:rPr>
  </w:style>
  <w:style w:type="character" w:styleId="Heading2Char" w:customStyle="1">
    <w:name w:val="Heading 2 Char"/>
    <w:basedOn w:val="DefaultParagraphFont"/>
    <w:link w:val="Heading2"/>
    <w:uiPriority w:val="9"/>
    <w:semiHidden/>
    <w:qFormat/>
    <w:rsid w:val="00a10fd9"/>
    <w:rPr>
      <w:rFonts w:ascii="Aptos Display" w:hAnsi="Aptos Display" w:eastAsia="" w:cs="" w:asciiTheme="majorHAnsi" w:cstheme="majorBidi" w:eastAsiaTheme="majorEastAsia" w:hAnsiTheme="majorHAnsi"/>
      <w:color w:val="0F4761" w:themeColor="accent1" w:themeShade="bf"/>
      <w:sz w:val="32"/>
      <w:szCs w:val="32"/>
    </w:rPr>
  </w:style>
  <w:style w:type="character" w:styleId="Heading3Char" w:customStyle="1">
    <w:name w:val="Heading 3 Char"/>
    <w:basedOn w:val="DefaultParagraphFont"/>
    <w:link w:val="Heading3"/>
    <w:uiPriority w:val="9"/>
    <w:semiHidden/>
    <w:qFormat/>
    <w:rsid w:val="00a10fd9"/>
    <w:rPr>
      <w:rFonts w:eastAsia="" w:cs="" w:cstheme="majorBidi" w:eastAsiaTheme="majorEastAsia"/>
      <w:color w:val="0F4761" w:themeColor="accent1" w:themeShade="bf"/>
      <w:sz w:val="28"/>
      <w:szCs w:val="28"/>
    </w:rPr>
  </w:style>
  <w:style w:type="character" w:styleId="Heading4Char" w:customStyle="1">
    <w:name w:val="Heading 4 Char"/>
    <w:basedOn w:val="DefaultParagraphFont"/>
    <w:link w:val="Heading4"/>
    <w:uiPriority w:val="9"/>
    <w:semiHidden/>
    <w:qFormat/>
    <w:rsid w:val="00a10fd9"/>
    <w:rPr>
      <w:rFonts w:eastAsia="" w:cs="" w:cstheme="majorBidi" w:eastAsiaTheme="majorEastAsia"/>
      <w:i/>
      <w:iCs/>
      <w:color w:val="0F4761" w:themeColor="accent1" w:themeShade="bf"/>
    </w:rPr>
  </w:style>
  <w:style w:type="character" w:styleId="Heading5Char" w:customStyle="1">
    <w:name w:val="Heading 5 Char"/>
    <w:basedOn w:val="DefaultParagraphFont"/>
    <w:link w:val="Heading5"/>
    <w:uiPriority w:val="9"/>
    <w:semiHidden/>
    <w:qFormat/>
    <w:rsid w:val="00a10fd9"/>
    <w:rPr>
      <w:rFonts w:eastAsia="" w:cs="" w:cstheme="majorBidi" w:eastAsiaTheme="majorEastAsia"/>
      <w:color w:val="0F4761" w:themeColor="accent1" w:themeShade="bf"/>
    </w:rPr>
  </w:style>
  <w:style w:type="character" w:styleId="Heading6Char" w:customStyle="1">
    <w:name w:val="Heading 6 Char"/>
    <w:basedOn w:val="DefaultParagraphFont"/>
    <w:link w:val="Heading6"/>
    <w:uiPriority w:val="9"/>
    <w:semiHidden/>
    <w:qFormat/>
    <w:rsid w:val="00a10fd9"/>
    <w:rPr>
      <w:rFonts w:eastAsia="" w:cs="" w:cstheme="majorBidi" w:eastAsiaTheme="majorEastAsia"/>
      <w:i/>
      <w:iCs/>
      <w:color w:val="595959" w:themeColor="text1" w:themeTint="a6"/>
    </w:rPr>
  </w:style>
  <w:style w:type="character" w:styleId="Heading7Char" w:customStyle="1">
    <w:name w:val="Heading 7 Char"/>
    <w:basedOn w:val="DefaultParagraphFont"/>
    <w:link w:val="Heading7"/>
    <w:uiPriority w:val="9"/>
    <w:semiHidden/>
    <w:qFormat/>
    <w:rsid w:val="00a10fd9"/>
    <w:rPr>
      <w:rFonts w:eastAsia="" w:cs="" w:cstheme="majorBidi" w:eastAsiaTheme="majorEastAsia"/>
      <w:color w:val="595959" w:themeColor="text1" w:themeTint="a6"/>
    </w:rPr>
  </w:style>
  <w:style w:type="character" w:styleId="Heading8Char" w:customStyle="1">
    <w:name w:val="Heading 8 Char"/>
    <w:basedOn w:val="DefaultParagraphFont"/>
    <w:link w:val="Heading8"/>
    <w:uiPriority w:val="9"/>
    <w:semiHidden/>
    <w:qFormat/>
    <w:rsid w:val="00a10fd9"/>
    <w:rPr>
      <w:rFonts w:eastAsia="" w:cs="" w:cstheme="majorBidi" w:eastAsiaTheme="majorEastAsia"/>
      <w:i/>
      <w:iCs/>
      <w:color w:val="272727" w:themeColor="text1" w:themeTint="d8"/>
    </w:rPr>
  </w:style>
  <w:style w:type="character" w:styleId="Heading9Char" w:customStyle="1">
    <w:name w:val="Heading 9 Char"/>
    <w:basedOn w:val="DefaultParagraphFont"/>
    <w:link w:val="Heading9"/>
    <w:uiPriority w:val="9"/>
    <w:semiHidden/>
    <w:qFormat/>
    <w:rsid w:val="00a10fd9"/>
    <w:rPr>
      <w:rFonts w:eastAsia="" w:cs="" w:cstheme="majorBidi" w:eastAsiaTheme="majorEastAsia"/>
      <w:color w:val="272727" w:themeColor="text1" w:themeTint="d8"/>
    </w:rPr>
  </w:style>
  <w:style w:type="character" w:styleId="DefaultParagraphFont" w:default="1">
    <w:name w:val="Default Paragraph Font"/>
    <w:semiHidden/>
    <w:unhideWhenUsed/>
    <w:qFormat/>
    <w:rPr/>
  </w:style>
  <w:style w:type="character" w:styleId="BodyTextChar" w:customStyle="1">
    <w:name w:val="Body Text Char"/>
    <w:basedOn w:val="DefaultParagraphFont"/>
    <w:qFormat/>
    <w:rPr/>
  </w:style>
  <w:style w:type="character" w:styleId="VerbatimChar" w:customStyle="1">
    <w:name w:val="Verbatim Char"/>
    <w:basedOn w:val="BodyTextChar"/>
    <w:qFormat/>
    <w:rPr>
      <w:rFonts w:ascii="Consolas" w:hAnsi="Consolas"/>
      <w:sz w:val="22"/>
    </w:rPr>
  </w:style>
  <w:style w:type="character" w:styleId="SectionNumber" w:customStyle="1">
    <w:name w:val="Section Number"/>
    <w:basedOn w:val="BodyTextChar"/>
    <w:qFormat/>
    <w:rPr/>
  </w:style>
  <w:style w:type="character" w:styleId="FootnoteCharacters">
    <w:name w:val="Footnote Characters"/>
    <w:basedOn w:val="BodyTextChar"/>
    <w:qFormat/>
    <w:rPr>
      <w:vertAlign w:val="superscript"/>
    </w:rPr>
  </w:style>
  <w:style w:type="character" w:styleId="FootnoteAnchor">
    <w:name w:val="Footnote Reference"/>
    <w:rPr>
      <w:vertAlign w:val="superscript"/>
    </w:rPr>
  </w:style>
  <w:style w:type="character" w:styleId="InternetLink">
    <w:name w:val="Hyperlink"/>
    <w:basedOn w:val="BodyTextChar"/>
    <w:rPr>
      <w:color w:val="4F81BD" w:themeColor="accent1"/>
    </w:rPr>
  </w:style>
  <w:style w:type="character" w:styleId="KeywordTok" w:customStyle="1">
    <w:name w:val="KeywordTok"/>
    <w:basedOn w:val="VerbatimChar"/>
    <w:qFormat/>
    <w:rPr>
      <w:b/>
      <w:color w:val="007020"/>
    </w:rPr>
  </w:style>
  <w:style w:type="character" w:styleId="DataTypeTok" w:customStyle="1">
    <w:name w:val="DataTypeTok"/>
    <w:basedOn w:val="VerbatimChar"/>
    <w:qFormat/>
    <w:rPr>
      <w:color w:val="902000"/>
    </w:rPr>
  </w:style>
  <w:style w:type="character" w:styleId="DecValTok" w:customStyle="1">
    <w:name w:val="DecValTok"/>
    <w:basedOn w:val="VerbatimChar"/>
    <w:qFormat/>
    <w:rPr>
      <w:color w:val="40A070"/>
    </w:rPr>
  </w:style>
  <w:style w:type="character" w:styleId="BaseNTok" w:customStyle="1">
    <w:name w:val="BaseNTok"/>
    <w:basedOn w:val="VerbatimChar"/>
    <w:qFormat/>
    <w:rPr>
      <w:color w:val="40A070"/>
    </w:rPr>
  </w:style>
  <w:style w:type="character" w:styleId="FloatTok" w:customStyle="1">
    <w:name w:val="FloatTok"/>
    <w:basedOn w:val="VerbatimChar"/>
    <w:qFormat/>
    <w:rPr>
      <w:color w:val="40A070"/>
    </w:rPr>
  </w:style>
  <w:style w:type="character" w:styleId="ConstantTok" w:customStyle="1">
    <w:name w:val="ConstantTok"/>
    <w:basedOn w:val="VerbatimChar"/>
    <w:qFormat/>
    <w:rPr>
      <w:color w:val="880000"/>
    </w:rPr>
  </w:style>
  <w:style w:type="character" w:styleId="CharTok" w:customStyle="1">
    <w:name w:val="CharTok"/>
    <w:basedOn w:val="VerbatimChar"/>
    <w:qFormat/>
    <w:rPr>
      <w:color w:val="4070A0"/>
    </w:rPr>
  </w:style>
  <w:style w:type="character" w:styleId="SpecialCharTok" w:customStyle="1">
    <w:name w:val="SpecialCharTok"/>
    <w:basedOn w:val="VerbatimChar"/>
    <w:qFormat/>
    <w:rPr>
      <w:color w:val="4070A0"/>
    </w:rPr>
  </w:style>
  <w:style w:type="character" w:styleId="StringTok" w:customStyle="1">
    <w:name w:val="StringTok"/>
    <w:basedOn w:val="VerbatimChar"/>
    <w:qFormat/>
    <w:rPr>
      <w:color w:val="4070A0"/>
    </w:rPr>
  </w:style>
  <w:style w:type="character" w:styleId="VerbatimStringTok" w:customStyle="1">
    <w:name w:val="VerbatimStringTok"/>
    <w:basedOn w:val="VerbatimChar"/>
    <w:qFormat/>
    <w:rPr>
      <w:color w:val="4070A0"/>
    </w:rPr>
  </w:style>
  <w:style w:type="character" w:styleId="SpecialStringTok" w:customStyle="1">
    <w:name w:val="SpecialStringTok"/>
    <w:basedOn w:val="VerbatimChar"/>
    <w:qFormat/>
    <w:rPr>
      <w:color w:val="BB6688"/>
    </w:rPr>
  </w:style>
  <w:style w:type="character" w:styleId="ImportTok" w:customStyle="1">
    <w:name w:val="ImportTok"/>
    <w:basedOn w:val="VerbatimChar"/>
    <w:qFormat/>
    <w:rPr>
      <w:b/>
      <w:color w:val="008000"/>
    </w:rPr>
  </w:style>
  <w:style w:type="character" w:styleId="CommentTok" w:customStyle="1">
    <w:name w:val="CommentTok"/>
    <w:basedOn w:val="VerbatimChar"/>
    <w:qFormat/>
    <w:rPr>
      <w:i/>
      <w:color w:val="60A0B0"/>
    </w:rPr>
  </w:style>
  <w:style w:type="character" w:styleId="DocumentationTok" w:customStyle="1">
    <w:name w:val="DocumentationTok"/>
    <w:basedOn w:val="VerbatimChar"/>
    <w:qFormat/>
    <w:rPr>
      <w:i/>
      <w:color w:val="BA2121"/>
    </w:rPr>
  </w:style>
  <w:style w:type="character" w:styleId="AnnotationTok" w:customStyle="1">
    <w:name w:val="AnnotationTok"/>
    <w:basedOn w:val="VerbatimChar"/>
    <w:qFormat/>
    <w:rPr>
      <w:b/>
      <w:i/>
      <w:color w:val="60A0B0"/>
    </w:rPr>
  </w:style>
  <w:style w:type="character" w:styleId="CommentVarTok" w:customStyle="1">
    <w:name w:val="CommentVarTok"/>
    <w:basedOn w:val="VerbatimChar"/>
    <w:qFormat/>
    <w:rPr>
      <w:b/>
      <w:i/>
      <w:color w:val="60A0B0"/>
    </w:rPr>
  </w:style>
  <w:style w:type="character" w:styleId="OtherTok" w:customStyle="1">
    <w:name w:val="OtherTok"/>
    <w:basedOn w:val="VerbatimChar"/>
    <w:qFormat/>
    <w:rPr>
      <w:color w:val="007020"/>
    </w:rPr>
  </w:style>
  <w:style w:type="character" w:styleId="FunctionTok" w:customStyle="1">
    <w:name w:val="FunctionTok"/>
    <w:basedOn w:val="VerbatimChar"/>
    <w:qFormat/>
    <w:rPr>
      <w:color w:val="06287E"/>
    </w:rPr>
  </w:style>
  <w:style w:type="character" w:styleId="VariableTok" w:customStyle="1">
    <w:name w:val="VariableTok"/>
    <w:basedOn w:val="VerbatimChar"/>
    <w:qFormat/>
    <w:rPr>
      <w:color w:val="19177C"/>
    </w:rPr>
  </w:style>
  <w:style w:type="character" w:styleId="ControlFlowTok" w:customStyle="1">
    <w:name w:val="ControlFlowTok"/>
    <w:basedOn w:val="VerbatimChar"/>
    <w:qFormat/>
    <w:rPr>
      <w:b/>
      <w:color w:val="007020"/>
    </w:rPr>
  </w:style>
  <w:style w:type="character" w:styleId="OperatorTok" w:customStyle="1">
    <w:name w:val="OperatorTok"/>
    <w:basedOn w:val="VerbatimChar"/>
    <w:qFormat/>
    <w:rPr>
      <w:color w:val="666666"/>
    </w:rPr>
  </w:style>
  <w:style w:type="character" w:styleId="BuiltInTok" w:customStyle="1">
    <w:name w:val="BuiltInTok"/>
    <w:basedOn w:val="VerbatimChar"/>
    <w:qFormat/>
    <w:rPr>
      <w:color w:val="008000"/>
    </w:rPr>
  </w:style>
  <w:style w:type="character" w:styleId="ExtensionTok" w:customStyle="1">
    <w:name w:val="ExtensionTok"/>
    <w:basedOn w:val="VerbatimChar"/>
    <w:qFormat/>
    <w:rPr/>
  </w:style>
  <w:style w:type="character" w:styleId="PreprocessorTok" w:customStyle="1">
    <w:name w:val="PreprocessorTok"/>
    <w:basedOn w:val="VerbatimChar"/>
    <w:qFormat/>
    <w:rPr>
      <w:color w:val="BC7A00"/>
    </w:rPr>
  </w:style>
  <w:style w:type="character" w:styleId="AttributeTok" w:customStyle="1">
    <w:name w:val="AttributeTok"/>
    <w:basedOn w:val="VerbatimChar"/>
    <w:qFormat/>
    <w:rPr>
      <w:color w:val="7D9029"/>
    </w:rPr>
  </w:style>
  <w:style w:type="character" w:styleId="RegionMarkerTok" w:customStyle="1">
    <w:name w:val="RegionMarkerTok"/>
    <w:basedOn w:val="VerbatimChar"/>
    <w:qFormat/>
    <w:rPr/>
  </w:style>
  <w:style w:type="character" w:styleId="InformationTok" w:customStyle="1">
    <w:name w:val="InformationTok"/>
    <w:basedOn w:val="VerbatimChar"/>
    <w:qFormat/>
    <w:rPr>
      <w:b/>
      <w:i/>
      <w:color w:val="60A0B0"/>
    </w:rPr>
  </w:style>
  <w:style w:type="character" w:styleId="WarningTok" w:customStyle="1">
    <w:name w:val="WarningTok"/>
    <w:basedOn w:val="VerbatimChar"/>
    <w:qFormat/>
    <w:rPr>
      <w:b/>
      <w:i/>
      <w:color w:val="60A0B0"/>
    </w:rPr>
  </w:style>
  <w:style w:type="character" w:styleId="AlertTok" w:customStyle="1">
    <w:name w:val="AlertTok"/>
    <w:basedOn w:val="VerbatimChar"/>
    <w:qFormat/>
    <w:rPr>
      <w:b/>
      <w:color w:val="FF0000"/>
    </w:rPr>
  </w:style>
  <w:style w:type="character" w:styleId="ErrorTok" w:customStyle="1">
    <w:name w:val="ErrorTok"/>
    <w:basedOn w:val="VerbatimChar"/>
    <w:qFormat/>
    <w:rPr>
      <w:b/>
      <w:color w:val="FF0000"/>
    </w:rPr>
  </w:style>
  <w:style w:type="character" w:styleId="NormalTok" w:customStyle="1">
    <w:name w:val="NormalTok"/>
    <w:basedOn w:val="VerbatimChar"/>
    <w:qFormat/>
    <w:rPr/>
  </w:style>
  <w:style w:type="character" w:styleId="IndexLink">
    <w:name w:val="Index Link"/>
    <w:qFormat/>
    <w:rPr/>
  </w:style>
  <w:style w:type="paragraph" w:styleId="Heading">
    <w:name w:val="Heading"/>
    <w:basedOn w:val="Normal"/>
    <w:next w:val="TextBody"/>
    <w:qFormat/>
    <w:pPr>
      <w:keepNext w:val="true"/>
      <w:spacing w:before="240" w:after="120"/>
    </w:pPr>
    <w:rPr>
      <w:rFonts w:ascii="DejaVu Sans" w:hAnsi="DejaVu Sans" w:eastAsia="Noto Sans" w:cs="Noto Sans Devanagari"/>
      <w:sz w:val="28"/>
      <w:szCs w:val="28"/>
    </w:rPr>
  </w:style>
  <w:style w:type="paragraph" w:styleId="TextBody">
    <w:name w:val="Body Text"/>
    <w:basedOn w:val="Normal"/>
    <w:link w:val="BodyTextChar"/>
    <w:qFormat/>
    <w:pPr>
      <w:spacing w:before="180" w:after="180"/>
    </w:pPr>
    <w:rPr/>
  </w:style>
  <w:style w:type="paragraph" w:styleId="List">
    <w:name w:val="List"/>
    <w:basedOn w:val="TextBody"/>
    <w:pPr/>
    <w:rPr>
      <w:rFonts w:cs="Noto Sans Devanagari"/>
    </w:rPr>
  </w:style>
  <w:style w:type="paragraph" w:styleId="Caption">
    <w:name w:val="Caption"/>
    <w:basedOn w:val="Normal"/>
    <w:link w:val="BodyTextChar"/>
    <w:qFormat/>
    <w:pPr>
      <w:spacing w:before="0" w:after="120"/>
    </w:pPr>
    <w:rPr>
      <w:i/>
    </w:rPr>
  </w:style>
  <w:style w:type="paragraph" w:styleId="Index">
    <w:name w:val="Index"/>
    <w:basedOn w:val="Normal"/>
    <w:qFormat/>
    <w:pPr>
      <w:suppressLineNumbers/>
    </w:pPr>
    <w:rPr>
      <w:rFonts w:cs="Noto Sans Devanagari"/>
    </w:rPr>
  </w:style>
  <w:style w:type="paragraph" w:styleId="FirstParagraph" w:customStyle="1">
    <w:name w:val="First Paragraph"/>
    <w:basedOn w:val="TextBody"/>
    <w:next w:val="TextBody"/>
    <w:qFormat/>
    <w:pPr/>
    <w:rPr/>
  </w:style>
  <w:style w:type="paragraph" w:styleId="Compact" w:customStyle="1">
    <w:name w:val="Compact"/>
    <w:basedOn w:val="TextBody"/>
    <w:qFormat/>
    <w:pPr>
      <w:spacing w:before="36" w:after="36"/>
    </w:pPr>
    <w:rPr/>
  </w:style>
  <w:style w:type="paragraph" w:styleId="Title">
    <w:name w:val="Title"/>
    <w:basedOn w:val="Normal"/>
    <w:next w:val="TextBody"/>
    <w:link w:val="TitleChar"/>
    <w:uiPriority w:val="10"/>
    <w:qFormat/>
    <w:rsid w:val="00a10fd9"/>
    <w:pPr>
      <w:spacing w:lineRule="auto" w:line="240" w:before="0" w:after="80"/>
      <w:contextualSpacing/>
      <w:jc w:val="center"/>
    </w:pPr>
    <w:rPr>
      <w:rFonts w:ascii="Aptos Display" w:hAnsi="Aptos Display" w:eastAsia="" w:cs="" w:asciiTheme="majorHAnsi" w:cstheme="majorBidi" w:eastAsiaTheme="majorEastAsia" w:hAnsiTheme="majorHAnsi"/>
      <w:sz w:val="56"/>
      <w:szCs w:val="56"/>
    </w:rPr>
  </w:style>
  <w:style w:type="paragraph" w:styleId="Subtitle">
    <w:name w:val="Subtitle"/>
    <w:basedOn w:val="Title"/>
    <w:next w:val="TextBody"/>
    <w:link w:val="SubtitleChar"/>
    <w:uiPriority w:val="11"/>
    <w:qFormat/>
    <w:rsid w:val="00a10fd9"/>
    <w:pPr/>
    <w:rPr>
      <w:rFonts w:eastAsia="" w:cs="" w:cstheme="majorBidi" w:eastAsiaTheme="majorEastAsia"/>
      <w:spacing w:val="15"/>
      <w:sz w:val="28"/>
      <w:szCs w:val="28"/>
    </w:rPr>
  </w:style>
  <w:style w:type="paragraph" w:styleId="Author" w:customStyle="1">
    <w:name w:val="Author"/>
    <w:basedOn w:val="Title"/>
    <w:next w:val="TextBody"/>
    <w:qFormat/>
    <w:pPr>
      <w:keepNext w:val="true"/>
      <w:keepLines/>
    </w:pPr>
    <w:rPr>
      <w:sz w:val="24"/>
      <w:szCs w:val="24"/>
    </w:rPr>
  </w:style>
  <w:style w:type="paragraph" w:styleId="Date">
    <w:name w:val="Date"/>
    <w:basedOn w:val="Title"/>
    <w:next w:val="TextBody"/>
    <w:qFormat/>
    <w:pPr>
      <w:keepNext w:val="true"/>
      <w:keepLines/>
    </w:pPr>
    <w:rPr>
      <w:sz w:val="24"/>
      <w:szCs w:val="24"/>
    </w:rPr>
  </w:style>
  <w:style w:type="paragraph" w:styleId="AbstractTitle" w:customStyle="1">
    <w:name w:val="Abstract Title"/>
    <w:basedOn w:val="Normal"/>
    <w:next w:val="Abstract"/>
    <w:qFormat/>
    <w:pPr>
      <w:keepNext w:val="true"/>
      <w:keepLines/>
      <w:spacing w:before="300" w:after="0"/>
      <w:jc w:val="center"/>
    </w:pPr>
    <w:rPr>
      <w:b/>
      <w:sz w:val="20"/>
      <w:szCs w:val="20"/>
    </w:rPr>
  </w:style>
  <w:style w:type="paragraph" w:styleId="Abstract" w:customStyle="1">
    <w:name w:val="Abstract"/>
    <w:basedOn w:val="Normal"/>
    <w:next w:val="TextBody"/>
    <w:qFormat/>
    <w:pPr>
      <w:keepNext w:val="true"/>
      <w:keepLines/>
      <w:spacing w:before="100" w:after="300"/>
    </w:pPr>
    <w:rPr>
      <w:sz w:val="20"/>
      <w:szCs w:val="20"/>
    </w:rPr>
  </w:style>
  <w:style w:type="paragraph" w:styleId="Bibliography">
    <w:name w:val="Bibliography"/>
    <w:basedOn w:val="Normal"/>
    <w:qFormat/>
    <w:pPr/>
    <w:rPr/>
  </w:style>
  <w:style w:type="paragraph" w:styleId="BlockText">
    <w:name w:val="Block Text"/>
    <w:basedOn w:val="TextBody"/>
    <w:next w:val="TextBody"/>
    <w:uiPriority w:val="9"/>
    <w:unhideWhenUsed/>
    <w:qFormat/>
    <w:pPr>
      <w:spacing w:before="100" w:after="100"/>
      <w:ind w:left="480" w:right="480" w:hanging="0"/>
    </w:pPr>
    <w:rPr/>
  </w:style>
  <w:style w:type="paragraph" w:styleId="Footnote">
    <w:name w:val="Footnote Text"/>
    <w:basedOn w:val="Normal"/>
    <w:uiPriority w:val="9"/>
    <w:unhideWhenUsed/>
    <w:qFormat/>
    <w:pPr/>
    <w:rPr/>
  </w:style>
  <w:style w:type="paragraph" w:styleId="FootnoteBlockText">
    <w:name w:val="Footnote Block Text"/>
    <w:basedOn w:val="Footnote"/>
    <w:next w:val="Footnote"/>
    <w:uiPriority w:val="9"/>
    <w:unhideWhenUsed/>
    <w:qFormat/>
    <w:pPr>
      <w:spacing w:before="100" w:after="100"/>
      <w:ind w:left="480" w:right="480" w:hanging="0"/>
    </w:pPr>
    <w:rPr/>
  </w:style>
  <w:style w:type="paragraph" w:styleId="DefinitionTerm" w:customStyle="1">
    <w:name w:val="Definition Term"/>
    <w:basedOn w:val="Normal"/>
    <w:next w:val="Definition"/>
    <w:qFormat/>
    <w:pPr>
      <w:keepNext w:val="true"/>
      <w:keepLines/>
      <w:spacing w:before="0" w:after="0"/>
    </w:pPr>
    <w:rPr>
      <w:b/>
    </w:rPr>
  </w:style>
  <w:style w:type="paragraph" w:styleId="Definition" w:customStyle="1">
    <w:name w:val="Definition"/>
    <w:basedOn w:val="Normal"/>
    <w:qFormat/>
    <w:pPr/>
    <w:rPr/>
  </w:style>
  <w:style w:type="paragraph" w:styleId="TableCaption" w:customStyle="1">
    <w:name w:val="Table Caption"/>
    <w:basedOn w:val="Caption"/>
    <w:qFormat/>
    <w:pPr>
      <w:keepNext w:val="true"/>
    </w:pPr>
    <w:rPr/>
  </w:style>
  <w:style w:type="paragraph" w:styleId="ImageCaption" w:customStyle="1">
    <w:name w:val="Image Caption"/>
    <w:basedOn w:val="Caption"/>
    <w:qFormat/>
    <w:pPr/>
    <w:rPr/>
  </w:style>
  <w:style w:type="paragraph" w:styleId="Figure" w:customStyle="1">
    <w:name w:val="Figure"/>
    <w:basedOn w:val="Normal"/>
    <w:qFormat/>
    <w:pPr/>
    <w:rPr/>
  </w:style>
  <w:style w:type="paragraph" w:styleId="CaptionedFigure" w:customStyle="1">
    <w:name w:val="Captioned Figure"/>
    <w:basedOn w:val="Figure"/>
    <w:qFormat/>
    <w:pPr>
      <w:keepNext w:val="true"/>
    </w:pPr>
    <w:rPr/>
  </w:style>
  <w:style w:type="paragraph" w:styleId="IndexHeading">
    <w:name w:val="Index Heading"/>
    <w:basedOn w:val="Heading"/>
    <w:pPr/>
    <w:rPr/>
  </w:style>
  <w:style w:type="paragraph" w:styleId="ContentsHeading">
    <w:name w:val="TOC Heading"/>
    <w:basedOn w:val="Heading1"/>
    <w:next w:val="TextBody"/>
    <w:uiPriority w:val="39"/>
    <w:unhideWhenUsed/>
    <w:qFormat/>
    <w:pPr>
      <w:spacing w:lineRule="auto" w:line="259" w:before="240" w:after="80"/>
      <w:outlineLvl w:val="9"/>
    </w:pPr>
    <w:rPr>
      <w:rFonts w:ascii="Aptos Display" w:hAnsi="Aptos Display" w:eastAsia="" w:cs="" w:asciiTheme="majorHAnsi" w:cstheme="majorBidi" w:eastAsiaTheme="majorEastAsia" w:hAnsiTheme="majorHAnsi"/>
      <w:b w:val="false"/>
      <w:bCs w:val="false"/>
      <w:color w:val="365F91" w:themeColor="accent1" w:themeShade="bf"/>
    </w:rPr>
  </w:style>
  <w:style w:type="paragraph" w:styleId="PartTitle" w:customStyle="1">
    <w:name w:val="Part Title"/>
    <w:basedOn w:val="Normal"/>
    <w:next w:val="TextBody"/>
    <w:uiPriority w:val="11"/>
    <w:qFormat/>
    <w:pPr>
      <w:keepNext w:val="true"/>
      <w:keepLines/>
      <w:pageBreakBefore/>
      <w:spacing w:before="2400" w:after="480"/>
      <w:jc w:val="center"/>
    </w:pPr>
    <w:rPr>
      <w:rFonts w:ascii="Aptos Display" w:hAnsi="Aptos Display" w:eastAsia="" w:cs="" w:asciiTheme="majorHAnsi" w:cstheme="majorBidi" w:eastAsiaTheme="majorEastAsia" w:hAnsiTheme="majorHAnsi"/>
      <w:b/>
      <w:bCs/>
      <w:color w:val="0F4761" w:themeColor="accent1" w:themeShade="bf"/>
      <w:sz w:val="48"/>
      <w:szCs w:val="48"/>
    </w:rPr>
  </w:style>
  <w:style w:type="paragraph" w:styleId="SourceCode" w:customStyle="1">
    <w:name w:val="Source Code"/>
    <w:basedOn w:val="Normal"/>
    <w:link w:val="VerbatimChar"/>
    <w:qFormat/>
    <w:pPr/>
    <w:rPr/>
  </w:style>
  <w:style w:type="paragraph" w:styleId="Contents1">
    <w:name w:val="TOC 1"/>
    <w:basedOn w:val="Index"/>
    <w:pPr>
      <w:tabs>
        <w:tab w:val="clear" w:pos="720"/>
        <w:tab w:val="right" w:pos="9360" w:leader="dot"/>
      </w:tabs>
      <w:ind w:left="0" w:hanging="0"/>
    </w:pPr>
    <w:rPr/>
  </w:style>
  <w:style w:type="paragraph" w:styleId="Contents2">
    <w:name w:val="TOC 2"/>
    <w:basedOn w:val="Index"/>
    <w:pPr>
      <w:tabs>
        <w:tab w:val="clear" w:pos="720"/>
        <w:tab w:val="right" w:pos="9077" w:leader="dot"/>
      </w:tabs>
      <w:ind w:left="283" w:hanging="0"/>
    </w:pPr>
    <w:rPr/>
  </w:style>
  <w:style w:type="table" w:default="1" w:styleId="Table">
    <w:name w:val="Table"/>
    <w:basedOn w:val="TableNormal"/>
    <w:semiHidden/>
    <w:unhideWhenUsed/>
    <w:qFormat/>
    <w:tblPr>
      <w:tblCellMar>
        <w:top w:w="0" w:type="dxa"/>
        <w:left w:w="108" w:type="dxa"/>
        <w:bottom w:w="0" w:type="dxa"/>
        <w:right w:w="108" w:type="dxa"/>
      </w:tblCellMar>
    </w:tblPr>
    <w:tblStylePr w:type="firstRow">
      <w:tblPr/>
      <w:tcPr>
        <w:tcBorders>
          <w:bottom w:val="single"/>
        </w:tcBorders>
        <w:vAlign w:val="bottom"/>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igg.cas.cn/xwzx/yjcg/ydyl/201601/t20160111_4516108.html" TargetMode="External"/><Relationship Id="rId3" Type="http://schemas.openxmlformats.org/officeDocument/2006/relationships/hyperlink" Target="http://www.igg.cas.cn/kxcb/mtsm/201601/t20160118_4519847.html" TargetMode="External"/><Relationship Id="rId4" Type="http://schemas.openxmlformats.org/officeDocument/2006/relationships/hyperlink" Target="https://www.taylorfrancis.com/chapters/edit/10.1201/b12659-16/agronomy-commercial-production-tea-zong-mao-chen-ning-xu?context=ubx&amp;refId=9bd1e539-5ac1-408c-a6ce-5cd8f7cc4fc2" TargetMode="External"/><Relationship Id="rId5" Type="http://schemas.openxmlformats.org/officeDocument/2006/relationships/hyperlink" Target="https://search.worldcat.org/zh-cn/title/906581170?lang=it" TargetMode="External"/><Relationship Id="rId6" Type="http://schemas.openxmlformats.org/officeDocument/2006/relationships/hyperlink" Target="https://www.ctma.com.cn/guojizixun/41837.html" TargetMode="External"/><Relationship Id="rId7" Type="http://schemas.openxmlformats.org/officeDocument/2006/relationships/hyperlink" Target="https://www.bbc.co.uk/teach/class-clips-video/articles/zbffjhv" TargetMode="External"/><Relationship Id="rId8" Type="http://schemas.openxmlformats.org/officeDocument/2006/relationships/hyperlink" Target="http://spanish.china.org.cn/culture/txt/2007-11/14/content_9225159_4.htm" TargetMode="External"/><Relationship Id="rId9" Type="http://schemas.openxmlformats.org/officeDocument/2006/relationships/hyperlink" Target="https://aeon.co/essays/the-china-tea-trade-was-a-paradox-of-global-capitalism?amp;utm_source=rss-feed&amp;utm_medium=feed" TargetMode="External"/><Relationship Id="rId10" Type="http://schemas.openxmlformats.org/officeDocument/2006/relationships/hyperlink" Target="https://www.bbc.co.uk/programmes/m001t321" TargetMode="External"/><Relationship Id="rId11" Type="http://schemas.openxmlformats.org/officeDocument/2006/relationships/hyperlink" Target="https://zenodo.org/records/7219681" TargetMode="External"/><Relationship Id="rId12" Type="http://schemas.openxmlformats.org/officeDocument/2006/relationships/hyperlink" Target="https://oxfordre.com/asianhistory/search?btog=chap&amp;f_0=keyword&amp;q_0=Sino-Russian+trade" TargetMode="External"/><Relationship Id="rId13" Type="http://schemas.openxmlformats.org/officeDocument/2006/relationships/hyperlink" Target="https://www.dpm.org.cn/subject_tea/single/detail/260820.html" TargetMode="External"/><Relationship Id="rId14" Type="http://schemas.openxmlformats.org/officeDocument/2006/relationships/hyperlink" Target="http://www.chinadaily.com.cn/cndy/2017-05/20/content_29425923.htm" TargetMode="External"/><Relationship Id="rId15" Type="http://schemas.openxmlformats.org/officeDocument/2006/relationships/hyperlink" Target="https://library.thebeijingcenter.org/cgi-bin/koha/opac-detail.pl?biblionumber=8595" TargetMode="External"/><Relationship Id="rId16" Type="http://schemas.openxmlformats.org/officeDocument/2006/relationships/hyperlink" Target="http://chinagate.cn/2016-05/13/content_38450060.htm" TargetMode="External"/><Relationship Id="rId17" Type="http://schemas.openxmlformats.org/officeDocument/2006/relationships/hyperlink" Target="http://wenhua.youth.cn/whyw/202111/t20211126_13327091.htm" TargetMode="External"/><Relationship Id="rId18" Type="http://schemas.openxmlformats.org/officeDocument/2006/relationships/hyperlink" Target="https://epaper.chinadaily.com.cn/a/202007/21/WS5f163a3fa3107831ec753a57.html" TargetMode="External"/><Relationship Id="rId19" Type="http://schemas.openxmlformats.org/officeDocument/2006/relationships/hyperlink" Target="https://www.oed.com/information/using-the-oed/academic-case-studies/the-oed-and-research/cha-before-tea-finding-earlier-mentions-in-a-corpus-of-early-english-letters-part-1?tl=true" TargetMode="External"/><Relationship Id="rId20" Type="http://schemas.openxmlformats.org/officeDocument/2006/relationships/hyperlink" Target="https://epe.lac-bac.gc.ca/100/205/301/ic/cdc/teajourney/journey.asp@Sec=5?nodisclaimer=1" TargetMode="External"/><Relationship Id="rId21" Type="http://schemas.openxmlformats.org/officeDocument/2006/relationships/hyperlink" Target="https://archive.nytimes.com/www.nytimes.com/library/magazine/millennium/m4/lachappelle.html" TargetMode="External"/><Relationship Id="rId22" Type="http://schemas.openxmlformats.org/officeDocument/2006/relationships/hyperlink" Target="http://mp.weixin.qq.com/s?__biz=MzIzNjQ4OTMwOA==&amp;mid=2247503679&amp;idx=1&amp;sn=87960d349f9f4439b0fe395b8c4b1470" TargetMode="External"/><Relationship Id="rId23" Type="http://schemas.openxmlformats.org/officeDocument/2006/relationships/hyperlink" Target="https://lammuseum.wfu.edu/2023/06/tang-dynasty-tea-grater/" TargetMode="External"/><Relationship Id="rId24" Type="http://schemas.openxmlformats.org/officeDocument/2006/relationships/hyperlink" Target="https://wap.cnki.net/touch/web/Journal/Article/NOSE201705036.html" TargetMode="External"/><Relationship Id="rId25" Type="http://schemas.openxmlformats.org/officeDocument/2006/relationships/hyperlink" Target="https://itsmorethantea.wordpress.com/2022/06/02/caffeine-and-tea-in-the-stone-age/?like_comment=12201&amp;_wpnonce=6907711299" TargetMode="External"/><Relationship Id="rId26" Type="http://schemas.openxmlformats.org/officeDocument/2006/relationships/hyperlink" Target="https://www.ctma.com.cn/index.php/hangyeyaowen/23914.html" TargetMode="External"/><Relationship Id="rId27" Type="http://schemas.openxmlformats.org/officeDocument/2006/relationships/hyperlink" Target="http://book.cnpubg.com/?app=book&amp;controller=book&amp;action=showBook&amp;bookid=3493" TargetMode="External"/><Relationship Id="rId28" Type="http://schemas.openxmlformats.org/officeDocument/2006/relationships/hyperlink" Target="https://librarysystem.st-andrews.ac.uk/search~S5?/dTea+trade+--+China+--+20th+century./dtea+trade+china+++++++20th+century/-3,-1,0,B/frameset&amp;FF=dtea+trade+china+history&amp;1,,4?save=b3521549" TargetMode="External"/><Relationship Id="rId29" Type="http://schemas.openxmlformats.org/officeDocument/2006/relationships/hyperlink" Target="http://kr.people.com.cn/n3/2021/1201/c207466-9926911.html" TargetMode="External"/><Relationship Id="rId30" Type="http://schemas.openxmlformats.org/officeDocument/2006/relationships/hyperlink" Target="http://news.youth.cn/gn/201601/t20160112_7514902.htm" TargetMode="External"/><Relationship Id="rId31" Type="http://schemas.openxmlformats.org/officeDocument/2006/relationships/hyperlink" Target="https://www.ukrinform.ua/rubric-world/3361712-u-kitai-znajsli-najdavnisi-v-sviti-zaliski-cau.html" TargetMode="External"/><Relationship Id="rId32" Type="http://schemas.openxmlformats.org/officeDocument/2006/relationships/hyperlink" Target="https://royalporcelaincollection.skd.museum/catalogue/1/text/120" TargetMode="External"/><Relationship Id="rId33" Type="http://schemas.openxmlformats.org/officeDocument/2006/relationships/hyperlink" Target="http://libdigital.um.edu.mo/macau-periodical/show/p156-960-39?from=journal_title" TargetMode="External"/><Relationship Id="rId34" Type="http://schemas.openxmlformats.org/officeDocument/2006/relationships/hyperlink" Target="https://epaper.csstoday.cn/epaper/read.do?m=i&amp;iid=7004&amp;eid=50624&amp;sid=234554&amp;idate=12_2025-01-08_A06" TargetMode="External"/><Relationship Id="rId35" Type="http://schemas.openxmlformats.org/officeDocument/2006/relationships/hyperlink" Target="https://www.dpm.org.cn/subject_tea/" TargetMode="External"/><Relationship Id="rId36" Type="http://schemas.openxmlformats.org/officeDocument/2006/relationships/hyperlink" Target="https://www.taylorfrancis.com/chapters/edit/10.4324/9780203048368-29/green-jea?context=ubx" TargetMode="External"/><Relationship Id="rId37" Type="http://schemas.openxmlformats.org/officeDocument/2006/relationships/hyperlink" Target="https://www.ctma.com.cn/all/2460.html" TargetMode="External"/><Relationship Id="rId38" Type="http://schemas.openxmlformats.org/officeDocument/2006/relationships/hyperlink" Target="https://www.biodiversity-science.net/CN/article/getTxtFile.do?fileType=EndNote&amp;id=29199" TargetMode="External"/><Relationship Id="rId39" Type="http://schemas.openxmlformats.org/officeDocument/2006/relationships/hyperlink" Target="https://biosci.alljournals.cn/relate_search.aspx?pcid=90BA3D13E7F3BC869AC96FB3DA594E3FE34FBF7B8BC0E591&amp;aid=E5DB1C7B1DF094F0B7A25937B4B92290&amp;language=0&amp;ctl=19&amp;etl=0" TargetMode="External"/><Relationship Id="rId40" Type="http://schemas.openxmlformats.org/officeDocument/2006/relationships/hyperlink" Target="https://public-pages-files-2025.frontiersin.org/journals/nutrition/articles/10.3389/fnut.2021.706770/text" TargetMode="External"/><Relationship Id="rId41" Type="http://schemas.openxmlformats.org/officeDocument/2006/relationships/hyperlink" Target="http://zhongguoguoqing.cssn.cn/gqzs/gqjt/201904/t20190430_5038265.shtml" TargetMode="External"/><Relationship Id="rId42" Type="http://schemas.openxmlformats.org/officeDocument/2006/relationships/hyperlink" Target="https://www.dailymail.com/news/article-3147029/Chinese-cultivating-tea-6-000-years-ago-3-000-years-oldest-Pyramid-built.html" TargetMode="External"/><Relationship Id="rId43" Type="http://schemas.openxmlformats.org/officeDocument/2006/relationships/numbering" Target="numbering.xml"/><Relationship Id="rId44" Type="http://schemas.openxmlformats.org/officeDocument/2006/relationships/fontTable" Target="fontTable.xml"/><Relationship Id="rId45" Type="http://schemas.openxmlformats.org/officeDocument/2006/relationships/settings" Target="settings.xml"/><Relationship Id="rId4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
  <TotalTime>0</TotalTime>
  <Application>LibreOffice/7.4.7.2$Linux_X86_64 LibreOffice_project/40$Build-2</Application>
  <AppVersion>15.0000</AppVersion>
  <Pages>51</Pages>
  <Words>14004</Words>
  <Characters>94510</Characters>
  <CharactersWithSpaces>107902</CharactersWithSpaces>
  <Paragraphs>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creator>Aii Cloud</dc:creator>
  <dc:description/>
  <dc:language>en-US</dc:language>
  <cp:lastModifiedBy/>
  <dcterms:modified xsi:type="dcterms:W3CDTF">2026-10-24T17:35:13Z</dcterms:modified>
  <cp:revision>1</cp:revision>
  <dc:subject/>
  <dc:title>History of Tea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title">
    <vt:lpwstr>Brief report</vt:lpwstr>
  </property>
</Properties>
</file>